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2978A" w14:textId="77777777" w:rsidR="002F7696" w:rsidRPr="003E1406" w:rsidRDefault="002F7696" w:rsidP="002F7696">
      <w:pPr>
        <w:jc w:val="center"/>
        <w:rPr>
          <w:rFonts w:ascii="DIN Next LT Pro" w:hAnsi="DIN Next LT Pro"/>
          <w:b/>
        </w:rPr>
      </w:pPr>
      <w:r w:rsidRPr="003E1406">
        <w:rPr>
          <w:rFonts w:ascii="DIN Next LT Pro" w:hAnsi="DIN Next LT Pro"/>
          <w:b/>
        </w:rPr>
        <w:t>METODOLOGIA DE FINANŢARE ȘI DE DECONTARE</w:t>
      </w:r>
    </w:p>
    <w:p w14:paraId="176C3951" w14:textId="77777777" w:rsidR="002F7696" w:rsidRPr="003E1406" w:rsidRDefault="002F7696" w:rsidP="002F7696">
      <w:pPr>
        <w:jc w:val="center"/>
        <w:rPr>
          <w:rFonts w:ascii="DIN Next LT Pro" w:hAnsi="DIN Next LT Pro"/>
          <w:b/>
        </w:rPr>
      </w:pPr>
      <w:r w:rsidRPr="003E1406">
        <w:rPr>
          <w:rFonts w:ascii="DIN Next LT Pro" w:hAnsi="DIN Next LT Pro"/>
          <w:b/>
        </w:rPr>
        <w:t>a programelor și proiectelor culturale, depuse de persoane fizice sau persoane juridice fără scop patrimonial – asociații și fundații constituite conform legii, în conformitate cu prevederile Legii nr. 350/2005 privind regimul finanțărilor nerambursabile din fonduri publice alocate pentru activități nonprofit de interes general și a Ordonanței nr. 51 din 11 august 1998, privind îmbunătățirea sistemului de finanțare a programelor, proiectelor și acțiunilor culturale, cu modificările și completările ulterioare</w:t>
      </w:r>
    </w:p>
    <w:p w14:paraId="2DDF8409" w14:textId="77777777" w:rsidR="002F7696" w:rsidRPr="003E1406" w:rsidRDefault="002F7696" w:rsidP="002F7696">
      <w:pPr>
        <w:jc w:val="center"/>
        <w:rPr>
          <w:rFonts w:ascii="DIN Next LT Pro" w:hAnsi="DIN Next LT Pro"/>
          <w:b/>
        </w:rPr>
      </w:pPr>
    </w:p>
    <w:p w14:paraId="72D91C2B" w14:textId="77777777" w:rsidR="002F7696" w:rsidRPr="003E1406" w:rsidRDefault="002F7696" w:rsidP="002F7696">
      <w:pPr>
        <w:jc w:val="both"/>
        <w:rPr>
          <w:rFonts w:ascii="DIN Next LT Pro" w:hAnsi="DIN Next LT Pro"/>
        </w:rPr>
      </w:pPr>
      <w:r w:rsidRPr="003E1406">
        <w:rPr>
          <w:rFonts w:ascii="DIN Next LT Pro" w:hAnsi="DIN Next LT Pro"/>
        </w:rPr>
        <w:t xml:space="preserve">În conformitate cu prevederile Legii nr. 350/2005 privind regimul finanțărilor nerambursabile din fonduri publice alocate pentru activități nonprofit de interes general, respectiv Ordonanței nr. 51/1998 privind îmbunătățirea sistemului de finanțare a programelor, proiectelor și acțiunilor culturale, cu modificările și completările ulterioare, Municipiul Miercurea-Ciuc derulează în fiecare an </w:t>
      </w:r>
      <w:r w:rsidRPr="003E1406">
        <w:rPr>
          <w:rFonts w:ascii="DIN Next LT Pro" w:hAnsi="DIN Next LT Pro"/>
          <w:b/>
        </w:rPr>
        <w:t>proiecte culturale</w:t>
      </w:r>
      <w:r w:rsidRPr="003E1406">
        <w:rPr>
          <w:rFonts w:ascii="DIN Next LT Pro" w:hAnsi="DIN Next LT Pro"/>
        </w:rPr>
        <w:t xml:space="preserve"> și </w:t>
      </w:r>
      <w:r w:rsidRPr="003E1406">
        <w:rPr>
          <w:rFonts w:ascii="DIN Next LT Pro" w:hAnsi="DIN Next LT Pro"/>
          <w:b/>
          <w:bCs/>
        </w:rPr>
        <w:t>de tineret</w:t>
      </w:r>
      <w:r w:rsidRPr="003E1406">
        <w:rPr>
          <w:rFonts w:ascii="DIN Next LT Pro" w:hAnsi="DIN Next LT Pro"/>
        </w:rPr>
        <w:t xml:space="preserve"> în vederea acordării de finanțări nerambursabile pentru realizarea diferitelor activități ale organizațiilor neguvernamentale din Municipiul Miercurea-Ciuc.</w:t>
      </w:r>
    </w:p>
    <w:p w14:paraId="0E1A81BB" w14:textId="77777777" w:rsidR="002F7696" w:rsidRPr="003E1406" w:rsidRDefault="002F7696" w:rsidP="002F7696">
      <w:pPr>
        <w:jc w:val="both"/>
        <w:rPr>
          <w:rFonts w:ascii="DIN Next LT Pro" w:hAnsi="DIN Next LT Pro"/>
          <w:b/>
          <w:color w:val="000000"/>
        </w:rPr>
      </w:pPr>
      <w:r w:rsidRPr="003E1406">
        <w:rPr>
          <w:rFonts w:ascii="DIN Next LT Pro" w:hAnsi="DIN Next LT Pro"/>
          <w:b/>
          <w:color w:val="000000"/>
        </w:rPr>
        <w:t xml:space="preserve">Arii tematice eligibile </w:t>
      </w:r>
    </w:p>
    <w:p w14:paraId="29EF89D3" w14:textId="77777777" w:rsidR="002F7696" w:rsidRPr="003E1406" w:rsidRDefault="002F7696" w:rsidP="002F7696">
      <w:pPr>
        <w:jc w:val="both"/>
        <w:rPr>
          <w:rFonts w:ascii="DIN Next LT Pro" w:hAnsi="DIN Next LT Pro"/>
          <w:b/>
          <w:color w:val="000000"/>
        </w:rPr>
      </w:pPr>
      <w:r w:rsidRPr="003E1406">
        <w:rPr>
          <w:rFonts w:ascii="DIN Next LT Pro" w:hAnsi="DIN Next LT Pro"/>
          <w:b/>
          <w:color w:val="000000"/>
        </w:rPr>
        <w:t>I. Proiecte culturale</w:t>
      </w:r>
    </w:p>
    <w:p w14:paraId="6587218B" w14:textId="77777777" w:rsidR="002F7696" w:rsidRPr="003E1406" w:rsidRDefault="002F7696" w:rsidP="002F7696">
      <w:pPr>
        <w:jc w:val="both"/>
        <w:rPr>
          <w:rFonts w:ascii="DIN Next LT Pro" w:hAnsi="DIN Next LT Pro"/>
          <w:b/>
          <w:color w:val="000000"/>
        </w:rPr>
      </w:pPr>
      <w:r w:rsidRPr="003E1406">
        <w:rPr>
          <w:rFonts w:ascii="DIN Next LT Pro" w:hAnsi="DIN Next LT Pro"/>
          <w:b/>
          <w:color w:val="000000"/>
        </w:rPr>
        <w:t>1. Proiecte pentru păstrarea tradițiilor:</w:t>
      </w:r>
      <w:r w:rsidRPr="003E1406">
        <w:rPr>
          <w:rFonts w:ascii="DIN Next LT Pro" w:hAnsi="DIN Next LT Pro"/>
          <w:color w:val="000000"/>
        </w:rPr>
        <w:t xml:space="preserve"> programe organizate ocazional sau cu regularitate, non- profesioniste, de păstrare a tradițiilor: muzică și dans popular, activități meșteșugărești, precum şi sprijinirea programelor care vizează prezentarea zestrei populare. </w:t>
      </w:r>
    </w:p>
    <w:p w14:paraId="0C1EACB0" w14:textId="77777777" w:rsidR="002F7696" w:rsidRPr="003E1406" w:rsidRDefault="002F7696" w:rsidP="002F7696">
      <w:pPr>
        <w:jc w:val="both"/>
        <w:rPr>
          <w:rFonts w:ascii="DIN Next LT Pro" w:hAnsi="DIN Next LT Pro"/>
          <w:b/>
          <w:color w:val="000000"/>
        </w:rPr>
      </w:pPr>
      <w:r w:rsidRPr="003E1406">
        <w:rPr>
          <w:rFonts w:ascii="DIN Next LT Pro" w:hAnsi="DIN Next LT Pro"/>
          <w:b/>
          <w:color w:val="000000"/>
        </w:rPr>
        <w:t>2. Proiecte de muzică contemporană</w:t>
      </w:r>
      <w:r w:rsidRPr="003E1406">
        <w:rPr>
          <w:rFonts w:ascii="DIN Next LT Pro" w:hAnsi="DIN Next LT Pro"/>
          <w:color w:val="000000"/>
        </w:rPr>
        <w:t>: organizarea concertelor, spectacolelor de muzică contemporană.</w:t>
      </w:r>
    </w:p>
    <w:p w14:paraId="0FD39197" w14:textId="77777777" w:rsidR="002F7696" w:rsidRPr="003E1406" w:rsidRDefault="002F7696" w:rsidP="002F7696">
      <w:pPr>
        <w:pStyle w:val="BodyTextIndent2"/>
        <w:spacing w:after="0" w:line="240" w:lineRule="auto"/>
        <w:ind w:left="0"/>
        <w:jc w:val="both"/>
        <w:rPr>
          <w:rFonts w:ascii="DIN Next LT Pro" w:hAnsi="DIN Next LT Pro"/>
          <w:b/>
          <w:bCs/>
          <w:color w:val="000000"/>
        </w:rPr>
      </w:pPr>
      <w:r w:rsidRPr="003E1406">
        <w:rPr>
          <w:rFonts w:ascii="DIN Next LT Pro" w:hAnsi="DIN Next LT Pro"/>
          <w:b/>
          <w:color w:val="000000"/>
        </w:rPr>
        <w:t xml:space="preserve">3. A. Arte plastice, fotografice și audiovizuale: </w:t>
      </w:r>
      <w:r w:rsidRPr="003E1406">
        <w:rPr>
          <w:rFonts w:ascii="DIN Next LT Pro" w:hAnsi="DIN Next LT Pro"/>
          <w:color w:val="000000"/>
        </w:rPr>
        <w:t>programe, publicații, expoziții</w:t>
      </w:r>
      <w:r w:rsidRPr="003E1406">
        <w:rPr>
          <w:rFonts w:ascii="DIN Next LT Pro" w:hAnsi="DIN Next LT Pro"/>
          <w:b/>
          <w:color w:val="000000"/>
        </w:rPr>
        <w:t xml:space="preserve"> – </w:t>
      </w:r>
      <w:r w:rsidRPr="003E1406">
        <w:rPr>
          <w:rFonts w:ascii="DIN Next LT Pro" w:hAnsi="DIN Next LT Pro"/>
          <w:color w:val="000000"/>
        </w:rPr>
        <w:t>co-finanțarea activităților de</w:t>
      </w:r>
      <w:r w:rsidRPr="003E1406">
        <w:rPr>
          <w:rFonts w:ascii="DIN Next LT Pro" w:hAnsi="DIN Next LT Pro"/>
          <w:b/>
          <w:color w:val="000000"/>
        </w:rPr>
        <w:t xml:space="preserve"> </w:t>
      </w:r>
      <w:r w:rsidRPr="003E1406">
        <w:rPr>
          <w:rFonts w:ascii="DIN Next LT Pro" w:hAnsi="DIN Next LT Pro"/>
          <w:color w:val="000000"/>
        </w:rPr>
        <w:t>organizare, editare cataloage.</w:t>
      </w:r>
    </w:p>
    <w:p w14:paraId="4285036E" w14:textId="77777777" w:rsidR="002F7696" w:rsidRPr="003E1406" w:rsidRDefault="002F7696" w:rsidP="002F7696">
      <w:pPr>
        <w:pStyle w:val="BodyTextIndent2"/>
        <w:spacing w:after="0" w:line="240" w:lineRule="auto"/>
        <w:ind w:left="0"/>
        <w:jc w:val="both"/>
        <w:rPr>
          <w:rFonts w:ascii="DIN Next LT Pro" w:hAnsi="DIN Next LT Pro"/>
        </w:rPr>
      </w:pPr>
      <w:r w:rsidRPr="003E1406">
        <w:rPr>
          <w:rFonts w:ascii="DIN Next LT Pro" w:hAnsi="DIN Next LT Pro"/>
          <w:b/>
          <w:bCs/>
        </w:rPr>
        <w:t>3.</w:t>
      </w:r>
      <w:r w:rsidRPr="003E1406">
        <w:rPr>
          <w:rFonts w:ascii="DIN Next LT Pro" w:hAnsi="DIN Next LT Pro"/>
        </w:rPr>
        <w:t xml:space="preserve"> </w:t>
      </w:r>
      <w:r w:rsidRPr="003E1406">
        <w:rPr>
          <w:rFonts w:ascii="DIN Next LT Pro" w:hAnsi="DIN Next LT Pro"/>
          <w:b/>
          <w:bCs/>
        </w:rPr>
        <w:t>B.</w:t>
      </w:r>
      <w:r w:rsidRPr="003E1406">
        <w:rPr>
          <w:rFonts w:ascii="DIN Next LT Pro" w:hAnsi="DIN Next LT Pro"/>
        </w:rPr>
        <w:t xml:space="preserve"> </w:t>
      </w:r>
      <w:r w:rsidRPr="003E1406">
        <w:rPr>
          <w:rFonts w:ascii="DIN Next LT Pro" w:hAnsi="DIN Next LT Pro"/>
          <w:b/>
        </w:rPr>
        <w:t xml:space="preserve">Arte plastice: </w:t>
      </w:r>
      <w:r w:rsidRPr="003E1406">
        <w:rPr>
          <w:rFonts w:ascii="DIN Next LT Pro" w:hAnsi="DIN Next LT Pro"/>
          <w:color w:val="000000"/>
        </w:rPr>
        <w:t>Proiecte de promovare a municipiului prin organizare și participare la expoziții de arte plastice locale, naționale și internaționale</w:t>
      </w:r>
    </w:p>
    <w:p w14:paraId="03E167EF" w14:textId="77777777" w:rsidR="002F7696" w:rsidRPr="003E1406" w:rsidRDefault="002F7696" w:rsidP="002F7696">
      <w:pPr>
        <w:jc w:val="both"/>
        <w:rPr>
          <w:rFonts w:ascii="DIN Next LT Pro" w:hAnsi="DIN Next LT Pro"/>
          <w:b/>
          <w:bCs/>
          <w:color w:val="000000"/>
        </w:rPr>
      </w:pPr>
      <w:r w:rsidRPr="003E1406">
        <w:rPr>
          <w:rFonts w:ascii="DIN Next LT Pro" w:hAnsi="DIN Next LT Pro"/>
          <w:b/>
          <w:bCs/>
          <w:color w:val="000000"/>
        </w:rPr>
        <w:t xml:space="preserve">4. Proiecte de educație ecologică și de istorie locală: </w:t>
      </w:r>
      <w:r w:rsidRPr="003E1406">
        <w:rPr>
          <w:rFonts w:ascii="DIN Next LT Pro" w:hAnsi="DIN Next LT Pro"/>
          <w:iCs/>
          <w:color w:val="000000"/>
        </w:rPr>
        <w:t xml:space="preserve">programe ecologice și drumeții având scopul de educație ecologică și de conștientizare a valorilor mediului înconjurător, respectiv cunoașterea pe teren a florei și faunei specifice zonei. Programe tematice având ca scop cunoașterea valorilor și obiectivelor cultural istorice ale Miercurea Ciuc. </w:t>
      </w:r>
    </w:p>
    <w:p w14:paraId="795CEE8C" w14:textId="77777777" w:rsidR="002F7696" w:rsidRPr="003E1406" w:rsidRDefault="002F7696" w:rsidP="002F7696">
      <w:pPr>
        <w:jc w:val="both"/>
        <w:rPr>
          <w:rFonts w:ascii="DIN Next LT Pro" w:hAnsi="DIN Next LT Pro"/>
          <w:b/>
          <w:bCs/>
          <w:color w:val="000000"/>
        </w:rPr>
      </w:pPr>
      <w:r w:rsidRPr="003E1406">
        <w:rPr>
          <w:rFonts w:ascii="DIN Next LT Pro" w:hAnsi="DIN Next LT Pro"/>
          <w:b/>
          <w:bCs/>
          <w:color w:val="000000"/>
        </w:rPr>
        <w:t xml:space="preserve">5. Proiecte școlare extracurriculare de aprofundare a </w:t>
      </w:r>
      <w:r w:rsidRPr="003E1406">
        <w:rPr>
          <w:rFonts w:ascii="DIN Next LT Pro" w:eastAsia="Mangal" w:hAnsi="DIN Next LT Pro"/>
          <w:b/>
          <w:bCs/>
          <w:color w:val="000000"/>
        </w:rPr>
        <w:t xml:space="preserve">cunoștințelor, și participare la concursuri pe discipline: </w:t>
      </w:r>
      <w:r w:rsidRPr="003E1406">
        <w:rPr>
          <w:rFonts w:ascii="DIN Next LT Pro" w:eastAsia="Mangal" w:hAnsi="DIN Next LT Pro"/>
          <w:iCs/>
          <w:color w:val="000000"/>
        </w:rPr>
        <w:t>programe școlare extracurriculare având ca scop aprofundarea cunoștințelor, cultivarea talentelor, pregătirea elevilor pentru concursuri școlare, organizarea de concursuri școlare și de cercuri tematice pe diverse discipline sau interdisciplinare.</w:t>
      </w:r>
    </w:p>
    <w:p w14:paraId="7D386FEF" w14:textId="77777777" w:rsidR="002F7696" w:rsidRPr="003E1406" w:rsidRDefault="002F7696" w:rsidP="002F7696">
      <w:pPr>
        <w:pStyle w:val="western"/>
        <w:spacing w:before="0" w:after="0"/>
        <w:rPr>
          <w:rFonts w:ascii="DIN Next LT Pro" w:hAnsi="DIN Next LT Pro" w:cs="Times New Roman"/>
          <w:b/>
          <w:bCs/>
          <w:sz w:val="22"/>
          <w:szCs w:val="22"/>
          <w:lang w:val="ro-RO"/>
        </w:rPr>
      </w:pPr>
      <w:r w:rsidRPr="003E1406">
        <w:rPr>
          <w:rFonts w:ascii="DIN Next LT Pro" w:hAnsi="DIN Next LT Pro" w:cs="Times New Roman"/>
          <w:b/>
          <w:bCs/>
          <w:sz w:val="22"/>
          <w:szCs w:val="22"/>
          <w:lang w:val="ro-RO"/>
        </w:rPr>
        <w:t xml:space="preserve">6. Proiecte de educație muzicală </w:t>
      </w:r>
    </w:p>
    <w:p w14:paraId="792B266C" w14:textId="77777777" w:rsidR="002F7696" w:rsidRPr="003E1406" w:rsidRDefault="002F7696" w:rsidP="002F7696">
      <w:pPr>
        <w:pStyle w:val="western"/>
        <w:spacing w:before="0" w:after="0"/>
        <w:rPr>
          <w:rFonts w:ascii="DIN Next LT Pro" w:hAnsi="DIN Next LT Pro" w:cs="Times New Roman"/>
          <w:b/>
          <w:bCs/>
          <w:sz w:val="22"/>
          <w:szCs w:val="22"/>
          <w:lang w:val="ro-RO"/>
        </w:rPr>
      </w:pPr>
      <w:r w:rsidRPr="003E1406">
        <w:rPr>
          <w:rFonts w:ascii="DIN Next LT Pro" w:hAnsi="DIN Next LT Pro" w:cs="Times New Roman"/>
          <w:b/>
          <w:bCs/>
          <w:sz w:val="22"/>
          <w:szCs w:val="22"/>
          <w:lang w:val="ro-RO"/>
        </w:rPr>
        <w:t>7. Programe de prevenție</w:t>
      </w:r>
    </w:p>
    <w:p w14:paraId="076DEE28" w14:textId="77777777" w:rsidR="002F7696" w:rsidRPr="003E1406" w:rsidRDefault="002F7696" w:rsidP="002F7696">
      <w:pPr>
        <w:pStyle w:val="western"/>
        <w:spacing w:before="0" w:after="0"/>
        <w:rPr>
          <w:rFonts w:ascii="DIN Next LT Pro" w:hAnsi="DIN Next LT Pro" w:cs="Times New Roman"/>
          <w:b/>
          <w:bCs/>
          <w:sz w:val="22"/>
          <w:szCs w:val="22"/>
          <w:lang w:val="ro-RO"/>
        </w:rPr>
      </w:pPr>
      <w:r w:rsidRPr="003E1406">
        <w:rPr>
          <w:rFonts w:ascii="DIN Next LT Pro" w:hAnsi="DIN Next LT Pro" w:cs="Times New Roman"/>
          <w:b/>
          <w:bCs/>
          <w:sz w:val="22"/>
          <w:szCs w:val="22"/>
          <w:lang w:val="ro-RO"/>
        </w:rPr>
        <w:t xml:space="preserve">8. Programe educaționale, de instruire </w:t>
      </w:r>
    </w:p>
    <w:p w14:paraId="1F561DD2" w14:textId="77777777" w:rsidR="002F7696" w:rsidRPr="003E1406" w:rsidRDefault="002F7696" w:rsidP="002F7696">
      <w:pPr>
        <w:pStyle w:val="western"/>
        <w:spacing w:before="0" w:after="0"/>
        <w:rPr>
          <w:rFonts w:ascii="DIN Next LT Pro" w:hAnsi="DIN Next LT Pro" w:cs="Times New Roman"/>
          <w:b/>
          <w:bCs/>
          <w:sz w:val="22"/>
          <w:szCs w:val="22"/>
          <w:lang w:val="ro-RO"/>
        </w:rPr>
      </w:pPr>
      <w:r w:rsidRPr="003E1406">
        <w:rPr>
          <w:rFonts w:ascii="DIN Next LT Pro" w:hAnsi="DIN Next LT Pro" w:cs="Times New Roman"/>
          <w:b/>
          <w:bCs/>
          <w:sz w:val="22"/>
          <w:szCs w:val="22"/>
          <w:lang w:val="ro-RO"/>
        </w:rPr>
        <w:t>9. Alte nevoi culturale de urgență</w:t>
      </w:r>
    </w:p>
    <w:p w14:paraId="45C2B7FD" w14:textId="77777777" w:rsidR="002F7696" w:rsidRPr="003E1406" w:rsidRDefault="002F7696" w:rsidP="002F7696">
      <w:pPr>
        <w:spacing w:before="240"/>
        <w:contextualSpacing/>
        <w:rPr>
          <w:rFonts w:ascii="DIN Next LT Pro" w:hAnsi="DIN Next LT Pro"/>
          <w:b/>
          <w:iCs/>
          <w:color w:val="000000"/>
        </w:rPr>
      </w:pPr>
      <w:r w:rsidRPr="003E1406">
        <w:rPr>
          <w:rFonts w:ascii="DIN Next LT Pro" w:hAnsi="DIN Next LT Pro"/>
          <w:b/>
          <w:bCs/>
          <w:iCs/>
          <w:color w:val="000000"/>
        </w:rPr>
        <w:t>II. Programe prioritare,</w:t>
      </w:r>
      <w:r w:rsidRPr="003E1406">
        <w:rPr>
          <w:rFonts w:ascii="DIN Next LT Pro" w:hAnsi="DIN Next LT Pro"/>
          <w:iCs/>
          <w:color w:val="000000"/>
        </w:rPr>
        <w:t xml:space="preserve"> </w:t>
      </w:r>
      <w:r w:rsidRPr="003E1406">
        <w:rPr>
          <w:rFonts w:ascii="DIN Next LT Pro" w:hAnsi="DIN Next LT Pro"/>
          <w:b/>
          <w:iCs/>
          <w:color w:val="000000"/>
        </w:rPr>
        <w:t>tradiționale în colaborare cu alte instituții, asociații pe bază de concurs</w:t>
      </w:r>
    </w:p>
    <w:p w14:paraId="5A192F50" w14:textId="77777777" w:rsidR="002F7696" w:rsidRPr="003E1406" w:rsidRDefault="002F7696" w:rsidP="002F7696">
      <w:pPr>
        <w:spacing w:before="240"/>
        <w:contextualSpacing/>
        <w:rPr>
          <w:rFonts w:ascii="DIN Next LT Pro" w:hAnsi="DIN Next LT Pro"/>
          <w:b/>
          <w:iCs/>
          <w:color w:val="000000"/>
        </w:rPr>
      </w:pPr>
      <w:r w:rsidRPr="003E1406">
        <w:rPr>
          <w:rFonts w:ascii="DIN Next LT Pro" w:hAnsi="DIN Next LT Pro"/>
          <w:b/>
          <w:iCs/>
          <w:color w:val="000000"/>
        </w:rPr>
        <w:t>1. Programe de muzică clasică</w:t>
      </w:r>
    </w:p>
    <w:p w14:paraId="1338F811" w14:textId="77777777" w:rsidR="002F7696" w:rsidRPr="003E1406" w:rsidRDefault="002F7696" w:rsidP="002F7696">
      <w:pPr>
        <w:spacing w:before="240"/>
        <w:contextualSpacing/>
        <w:rPr>
          <w:rFonts w:ascii="DIN Next LT Pro" w:hAnsi="DIN Next LT Pro"/>
          <w:b/>
          <w:iCs/>
          <w:color w:val="000000"/>
        </w:rPr>
      </w:pPr>
      <w:r w:rsidRPr="003E1406">
        <w:rPr>
          <w:rFonts w:ascii="DIN Next LT Pro" w:hAnsi="DIN Next LT Pro"/>
          <w:b/>
          <w:iCs/>
          <w:color w:val="000000"/>
        </w:rPr>
        <w:lastRenderedPageBreak/>
        <w:t>2. Programe de jazz</w:t>
      </w:r>
    </w:p>
    <w:p w14:paraId="0B915C27" w14:textId="77777777" w:rsidR="002F7696" w:rsidRPr="003E1406" w:rsidRDefault="002F7696" w:rsidP="002F7696">
      <w:pPr>
        <w:spacing w:before="240"/>
        <w:contextualSpacing/>
        <w:rPr>
          <w:rFonts w:ascii="DIN Next LT Pro" w:hAnsi="DIN Next LT Pro"/>
          <w:b/>
          <w:iCs/>
          <w:color w:val="000000"/>
        </w:rPr>
      </w:pPr>
      <w:r w:rsidRPr="003E1406">
        <w:rPr>
          <w:rFonts w:ascii="DIN Next LT Pro" w:hAnsi="DIN Next LT Pro"/>
          <w:b/>
          <w:iCs/>
          <w:color w:val="000000"/>
        </w:rPr>
        <w:t>3. Programe gastro-turistice</w:t>
      </w:r>
    </w:p>
    <w:p w14:paraId="6288EB94" w14:textId="77777777" w:rsidR="002F7696" w:rsidRPr="00EA0C25" w:rsidRDefault="002F7696" w:rsidP="002F7696">
      <w:pPr>
        <w:pStyle w:val="BodyTextIndent2"/>
        <w:spacing w:after="0" w:line="240" w:lineRule="auto"/>
        <w:ind w:left="0"/>
        <w:jc w:val="both"/>
        <w:rPr>
          <w:rFonts w:ascii="DIN Next LT Pro" w:hAnsi="DIN Next LT Pro"/>
          <w:color w:val="000000" w:themeColor="text1"/>
        </w:rPr>
      </w:pPr>
      <w:r w:rsidRPr="003E1406">
        <w:rPr>
          <w:rFonts w:ascii="DIN Next LT Pro" w:hAnsi="DIN Next LT Pro"/>
          <w:b/>
          <w:bCs/>
          <w:color w:val="000000"/>
        </w:rPr>
        <w:t>III.</w:t>
      </w:r>
      <w:r w:rsidRPr="003E1406">
        <w:rPr>
          <w:rFonts w:ascii="DIN Next LT Pro" w:hAnsi="DIN Next LT Pro"/>
          <w:color w:val="000000"/>
        </w:rPr>
        <w:t xml:space="preserve"> </w:t>
      </w:r>
      <w:r w:rsidRPr="003E1406">
        <w:rPr>
          <w:rFonts w:ascii="DIN Next LT Pro" w:hAnsi="DIN Next LT Pro"/>
          <w:b/>
          <w:color w:val="000000"/>
        </w:rPr>
        <w:t>Programe pentru copii și de tineret</w:t>
      </w:r>
      <w:r w:rsidRPr="003E1406">
        <w:rPr>
          <w:rFonts w:ascii="DIN Next LT Pro" w:hAnsi="DIN Next LT Pro"/>
          <w:color w:val="000000"/>
        </w:rPr>
        <w:t xml:space="preserve">: activități ocazionale sau cu regularitate pentru copii </w:t>
      </w:r>
      <w:r w:rsidRPr="00EA0C25">
        <w:rPr>
          <w:rFonts w:ascii="DIN Next LT Pro" w:hAnsi="DIN Next LT Pro"/>
          <w:color w:val="000000" w:themeColor="text1"/>
        </w:rPr>
        <w:t xml:space="preserve">preșcolari și școlari din ciclul primar și gimnazial </w:t>
      </w:r>
      <w:r w:rsidRPr="00EA0C25">
        <w:rPr>
          <w:rFonts w:ascii="DIN Next LT Pro" w:hAnsi="DIN Next LT Pro"/>
          <w:color w:val="000000" w:themeColor="text1"/>
          <w:u w:val="single"/>
        </w:rPr>
        <w:t>(3-18 ani</w:t>
      </w:r>
      <w:r w:rsidRPr="00EA0C25">
        <w:rPr>
          <w:rFonts w:ascii="DIN Next LT Pro" w:hAnsi="DIN Next LT Pro"/>
          <w:color w:val="000000" w:themeColor="text1"/>
        </w:rPr>
        <w:t>). Se vor finanța programe care vizează petrecerea timpului liber în mod educativ, cultivarea aptitudinilor, activitățile educative, meșteșugărești, organizarea caselor de joacă, activități legate de zilele unităților publice de învățământ, organizarea programelor educative și distractive pentru tineret.</w:t>
      </w:r>
    </w:p>
    <w:p w14:paraId="39C27B6F" w14:textId="77777777" w:rsidR="002F7696" w:rsidRPr="00EA0C25" w:rsidRDefault="002F7696" w:rsidP="002F7696">
      <w:pPr>
        <w:rPr>
          <w:rFonts w:ascii="DIN Next LT Pro" w:hAnsi="DIN Next LT Pro"/>
          <w:color w:val="000000" w:themeColor="text1"/>
        </w:rPr>
      </w:pPr>
    </w:p>
    <w:p w14:paraId="75063606" w14:textId="77777777" w:rsidR="002F7696" w:rsidRPr="00EA0C25" w:rsidRDefault="002F7696" w:rsidP="002F7696">
      <w:pPr>
        <w:jc w:val="both"/>
        <w:rPr>
          <w:rFonts w:ascii="DIN Next LT Pro" w:hAnsi="DIN Next LT Pro"/>
          <w:color w:val="000000" w:themeColor="text1"/>
        </w:rPr>
      </w:pPr>
      <w:r w:rsidRPr="00EA0C25">
        <w:rPr>
          <w:rFonts w:ascii="DIN Next LT Pro" w:hAnsi="DIN Next LT Pro"/>
          <w:color w:val="000000" w:themeColor="text1"/>
        </w:rPr>
        <w:t>La procedura de atribuire a contractelor de finanțare nerambursabilă pot participa  persoane juridice fără scop patrimonial – asociații ori fundații constituite conform legii, care au sediul în municipiul Miercurea-Ciuc și își desfășoară activitatea în municipiul Miercurea-Ciuc / sau beneficiarii proiectului sunt domiciliați în municipiul Miercurea-Ciuc.</w:t>
      </w:r>
    </w:p>
    <w:p w14:paraId="0A53892E" w14:textId="77777777" w:rsidR="002F7696" w:rsidRPr="00EA0C25" w:rsidRDefault="002F7696" w:rsidP="002F7696">
      <w:pPr>
        <w:jc w:val="both"/>
        <w:rPr>
          <w:rFonts w:ascii="DIN Next LT Pro" w:hAnsi="DIN Next LT Pro"/>
          <w:color w:val="000000" w:themeColor="text1"/>
        </w:rPr>
      </w:pPr>
      <w:r w:rsidRPr="00EA0C25">
        <w:rPr>
          <w:rFonts w:ascii="DIN Next LT Pro" w:hAnsi="DIN Next LT Pro"/>
          <w:color w:val="000000" w:themeColor="text1"/>
        </w:rPr>
        <w:t xml:space="preserve">În cazul proiectelor culturale și de tineret documentația solicitanților va conține următoarele: </w:t>
      </w:r>
    </w:p>
    <w:p w14:paraId="41C26D12" w14:textId="77777777" w:rsidR="002F7696" w:rsidRPr="00EA0C25" w:rsidRDefault="002F7696" w:rsidP="002F7696">
      <w:pPr>
        <w:spacing w:line="276" w:lineRule="auto"/>
        <w:jc w:val="both"/>
        <w:rPr>
          <w:rFonts w:ascii="DIN Next LT Pro" w:hAnsi="DIN Next LT Pro" w:cs="Liberation Serif"/>
          <w:color w:val="000000" w:themeColor="text1"/>
        </w:rPr>
      </w:pPr>
      <w:r w:rsidRPr="00EA0C25">
        <w:rPr>
          <w:rFonts w:ascii="DIN Next LT Pro" w:hAnsi="DIN Next LT Pro" w:cs="Liberation Serif"/>
          <w:color w:val="000000" w:themeColor="text1"/>
        </w:rPr>
        <w:t>1. Actul constitutiv, statutul și actele doveditoare ale sediului și patrimoniului inițial ale organizației solicitante, precum și actele adiționale, după caz, certificatul de înregistrare fiscală;</w:t>
      </w:r>
    </w:p>
    <w:p w14:paraId="5ADF30B1" w14:textId="77777777" w:rsidR="002F7696" w:rsidRPr="00EA0C25" w:rsidRDefault="002F7696" w:rsidP="002F7696">
      <w:pPr>
        <w:spacing w:line="276" w:lineRule="auto"/>
        <w:jc w:val="both"/>
        <w:rPr>
          <w:rFonts w:ascii="DIN Next LT Pro" w:hAnsi="DIN Next LT Pro" w:cs="Liberation Serif"/>
          <w:color w:val="000000" w:themeColor="text1"/>
        </w:rPr>
      </w:pPr>
      <w:r w:rsidRPr="00EA0C25">
        <w:rPr>
          <w:rFonts w:ascii="DIN Next LT Pro" w:hAnsi="DIN Next LT Pro" w:cs="Liberation Serif"/>
          <w:color w:val="000000" w:themeColor="text1"/>
        </w:rPr>
        <w:t xml:space="preserve">2. </w:t>
      </w:r>
      <w:r w:rsidRPr="00EA0C25">
        <w:rPr>
          <w:rFonts w:ascii="DIN Next LT Pro" w:eastAsia="Calibri" w:hAnsi="DIN Next LT Pro"/>
          <w:bCs/>
          <w:iCs/>
          <w:color w:val="000000" w:themeColor="text1"/>
        </w:rPr>
        <w:t>Extrasul din registrul special al asociațiilor și fundațiilor aflat la Grefa Judecătoriei la care a fost înregistrată asociația/fundația, sau înscris: înlocuitor eliberat de aceeași judecătorie, cu dată recentă (nu mai mult de 60 de zile)</w:t>
      </w:r>
      <w:r w:rsidRPr="00EA0C25">
        <w:rPr>
          <w:rFonts w:ascii="DIN Next LT Pro" w:hAnsi="DIN Next LT Pro"/>
          <w:color w:val="000000" w:themeColor="text1"/>
        </w:rPr>
        <w:t xml:space="preserve"> ;</w:t>
      </w:r>
    </w:p>
    <w:p w14:paraId="3F5BD862" w14:textId="77777777" w:rsidR="002F7696" w:rsidRPr="00EA0C25" w:rsidRDefault="002F7696" w:rsidP="002F7696">
      <w:pPr>
        <w:spacing w:line="276" w:lineRule="auto"/>
        <w:jc w:val="both"/>
        <w:rPr>
          <w:rFonts w:ascii="DIN Next LT Pro" w:hAnsi="DIN Next LT Pro" w:cs="Liberation Serif"/>
          <w:color w:val="000000" w:themeColor="text1"/>
        </w:rPr>
      </w:pPr>
      <w:r w:rsidRPr="00EA0C25">
        <w:rPr>
          <w:rFonts w:ascii="DIN Next LT Pro" w:hAnsi="DIN Next LT Pro" w:cs="Liberation Serif"/>
          <w:color w:val="000000" w:themeColor="text1"/>
        </w:rPr>
        <w:t>3. Cererea de finanțare nerambursabilă, precum și bugetul de venituri și cheltuieli al proiectului cultural;</w:t>
      </w:r>
    </w:p>
    <w:p w14:paraId="4188F886" w14:textId="77777777" w:rsidR="002F7696" w:rsidRPr="00EA0C25" w:rsidRDefault="002F7696" w:rsidP="002F7696">
      <w:pPr>
        <w:contextualSpacing/>
        <w:jc w:val="both"/>
        <w:rPr>
          <w:rFonts w:ascii="DIN Next LT Pro" w:hAnsi="DIN Next LT Pro" w:cs="Liberation Serif"/>
          <w:color w:val="000000" w:themeColor="text1"/>
        </w:rPr>
      </w:pPr>
      <w:r w:rsidRPr="00EA0C25">
        <w:rPr>
          <w:rFonts w:ascii="DIN Next LT Pro" w:hAnsi="DIN Next LT Pro" w:cs="Liberation Serif"/>
          <w:color w:val="000000" w:themeColor="text1"/>
        </w:rPr>
        <w:t xml:space="preserve">4. Dovada existenței surselor de finanțare proprii sau oferite de terți: </w:t>
      </w:r>
    </w:p>
    <w:p w14:paraId="3EB30D1D" w14:textId="77777777" w:rsidR="002F7696" w:rsidRPr="00EA0C25" w:rsidRDefault="002F7696" w:rsidP="002F7696">
      <w:pPr>
        <w:contextualSpacing/>
        <w:jc w:val="both"/>
        <w:rPr>
          <w:rFonts w:ascii="DIN Next LT Pro" w:hAnsi="DIN Next LT Pro" w:cs="Liberation Serif"/>
          <w:color w:val="000000" w:themeColor="text1"/>
        </w:rPr>
      </w:pPr>
      <w:r w:rsidRPr="00EA0C25">
        <w:rPr>
          <w:rFonts w:ascii="DIN Next LT Pro" w:hAnsi="DIN Next LT Pro" w:cs="Liberation Serif"/>
          <w:color w:val="000000" w:themeColor="text1"/>
        </w:rPr>
        <w:t xml:space="preserve"> - scrisori de intenție; </w:t>
      </w:r>
    </w:p>
    <w:p w14:paraId="760AE29B" w14:textId="77777777" w:rsidR="002F7696" w:rsidRPr="00EA0C25" w:rsidRDefault="002F7696" w:rsidP="002F7696">
      <w:pPr>
        <w:contextualSpacing/>
        <w:jc w:val="both"/>
        <w:rPr>
          <w:rFonts w:ascii="DIN Next LT Pro" w:hAnsi="DIN Next LT Pro" w:cs="Liberation Serif"/>
          <w:color w:val="000000" w:themeColor="text1"/>
        </w:rPr>
      </w:pPr>
      <w:r w:rsidRPr="00EA0C25">
        <w:rPr>
          <w:rFonts w:ascii="DIN Next LT Pro" w:hAnsi="DIN Next LT Pro" w:cs="Liberation Serif"/>
          <w:color w:val="000000" w:themeColor="text1"/>
        </w:rPr>
        <w:t xml:space="preserve"> - contracte de sponsorizare; </w:t>
      </w:r>
    </w:p>
    <w:p w14:paraId="1AA442AE" w14:textId="77777777" w:rsidR="002F7696" w:rsidRPr="00EA0C25" w:rsidRDefault="002F7696" w:rsidP="002F7696">
      <w:pPr>
        <w:contextualSpacing/>
        <w:jc w:val="both"/>
        <w:rPr>
          <w:rFonts w:ascii="DIN Next LT Pro" w:hAnsi="DIN Next LT Pro" w:cs="Liberation Serif"/>
          <w:color w:val="000000" w:themeColor="text1"/>
        </w:rPr>
      </w:pPr>
      <w:r w:rsidRPr="00EA0C25">
        <w:rPr>
          <w:rFonts w:ascii="DIN Next LT Pro" w:hAnsi="DIN Next LT Pro" w:cs="Liberation Serif"/>
          <w:color w:val="000000" w:themeColor="text1"/>
        </w:rPr>
        <w:t xml:space="preserve"> - alte forme de sprijin financiar ferm din partea unor terți; </w:t>
      </w:r>
    </w:p>
    <w:p w14:paraId="2A9ED61E" w14:textId="77777777" w:rsidR="002F7696" w:rsidRPr="00EA0C25" w:rsidRDefault="002F7696" w:rsidP="002F7696">
      <w:pPr>
        <w:contextualSpacing/>
        <w:jc w:val="both"/>
        <w:rPr>
          <w:rFonts w:ascii="DIN Next LT Pro" w:hAnsi="DIN Next LT Pro" w:cs="Liberation Serif"/>
          <w:color w:val="000000" w:themeColor="text1"/>
        </w:rPr>
      </w:pPr>
    </w:p>
    <w:p w14:paraId="2A890CA0" w14:textId="77777777" w:rsidR="002F7696" w:rsidRPr="00EA0C25" w:rsidRDefault="002F7696" w:rsidP="002F7696">
      <w:pPr>
        <w:spacing w:line="276" w:lineRule="auto"/>
        <w:jc w:val="both"/>
        <w:rPr>
          <w:rFonts w:ascii="DIN Next LT Pro" w:hAnsi="DIN Next LT Pro" w:cs="Liberation Serif"/>
          <w:color w:val="000000" w:themeColor="text1"/>
        </w:rPr>
      </w:pPr>
      <w:r w:rsidRPr="00EA0C25">
        <w:rPr>
          <w:rFonts w:ascii="DIN Next LT Pro" w:hAnsi="DIN Next LT Pro" w:cs="Liberation Serif"/>
          <w:color w:val="000000" w:themeColor="text1"/>
        </w:rPr>
        <w:t>5. Raport de  activitate pentru anul precedent, cu excepția  asociațiilor, organizațiilor nou-înființate;</w:t>
      </w:r>
    </w:p>
    <w:p w14:paraId="66B613CA" w14:textId="77777777" w:rsidR="002F7696" w:rsidRPr="00EA0C25" w:rsidRDefault="002F7696" w:rsidP="002F7696">
      <w:pPr>
        <w:spacing w:line="276" w:lineRule="auto"/>
        <w:jc w:val="both"/>
        <w:rPr>
          <w:rFonts w:ascii="DIN Next LT Pro" w:hAnsi="DIN Next LT Pro" w:cs="Liberation Serif"/>
          <w:color w:val="000000" w:themeColor="text1"/>
        </w:rPr>
      </w:pPr>
      <w:r w:rsidRPr="00EA0C25">
        <w:rPr>
          <w:rFonts w:ascii="DIN Next LT Pro" w:hAnsi="DIN Next LT Pro" w:cs="Liberation Serif"/>
          <w:color w:val="000000" w:themeColor="text1"/>
        </w:rPr>
        <w:t>6. B</w:t>
      </w:r>
      <w:r w:rsidRPr="00EA0C25">
        <w:rPr>
          <w:rFonts w:ascii="DIN Next LT Pro" w:hAnsi="DIN Next LT Pro"/>
          <w:color w:val="000000" w:themeColor="text1"/>
        </w:rPr>
        <w:t xml:space="preserve">ilanţul contabil pe anul precedent vizat/ ştampilat de Direcţia Generală Regională a Finanţelor Publice Brașov – Administrația Județeană a Finanțelor Publice Harghita sau la Agenția Națională de Administrare Fiscală, </w:t>
      </w:r>
      <w:r w:rsidRPr="00EA0C25">
        <w:rPr>
          <w:rFonts w:ascii="DIN Next LT Pro" w:hAnsi="DIN Next LT Pro" w:cs="Liberation Serif"/>
          <w:color w:val="000000" w:themeColor="text1"/>
        </w:rPr>
        <w:t>cu excepția  asociațiilor, organizațiilor nou-înființate;</w:t>
      </w:r>
    </w:p>
    <w:p w14:paraId="72221907" w14:textId="77777777" w:rsidR="002F7696" w:rsidRPr="00EA0C25" w:rsidRDefault="002F7696" w:rsidP="002F7696">
      <w:pPr>
        <w:spacing w:line="276" w:lineRule="auto"/>
        <w:jc w:val="both"/>
        <w:rPr>
          <w:rFonts w:ascii="DIN Next LT Pro" w:hAnsi="DIN Next LT Pro" w:cs="Liberation Serif"/>
          <w:color w:val="000000" w:themeColor="text1"/>
        </w:rPr>
      </w:pPr>
      <w:r w:rsidRPr="00EA0C25">
        <w:rPr>
          <w:rFonts w:ascii="DIN Next LT Pro" w:hAnsi="DIN Next LT Pro" w:cs="Liberation Serif"/>
          <w:color w:val="000000" w:themeColor="text1"/>
        </w:rPr>
        <w:t xml:space="preserve">7. Hotărâre a consiliului director al asociației, fundației sau organizației neguvernamentale fără scop lucrativ solicitante, din care sa reiasă că organizația nu are obligații restante către alte persoane fizice sau juridice ori bunuri urmărite în vederea executării; </w:t>
      </w:r>
    </w:p>
    <w:p w14:paraId="212709EC" w14:textId="77777777" w:rsidR="002F7696" w:rsidRPr="00EA0C25" w:rsidRDefault="002F7696" w:rsidP="002F7696">
      <w:pPr>
        <w:tabs>
          <w:tab w:val="num" w:pos="1080"/>
        </w:tabs>
        <w:suppressAutoHyphens w:val="0"/>
        <w:jc w:val="both"/>
        <w:rPr>
          <w:rFonts w:ascii="DIN Next LT Pro" w:hAnsi="DIN Next LT Pro"/>
          <w:color w:val="000000" w:themeColor="text1"/>
        </w:rPr>
      </w:pPr>
      <w:r w:rsidRPr="00EA0C25">
        <w:rPr>
          <w:rFonts w:ascii="DIN Next LT Pro" w:hAnsi="DIN Next LT Pro" w:cs="Liberation Serif"/>
          <w:color w:val="000000" w:themeColor="text1"/>
        </w:rPr>
        <w:t>8. C</w:t>
      </w:r>
      <w:r w:rsidRPr="00EA0C25">
        <w:rPr>
          <w:rFonts w:ascii="DIN Next LT Pro" w:hAnsi="DIN Next LT Pro"/>
          <w:color w:val="000000" w:themeColor="text1"/>
        </w:rPr>
        <w:t xml:space="preserve">ertificat de atestare fiscală din care să rezulte că şi-a îndeplinit obligaţiile de plată exigibile a impozitelor şi taxelor către </w:t>
      </w:r>
      <w:r w:rsidRPr="00EA0C25">
        <w:rPr>
          <w:rFonts w:ascii="DIN Next LT Pro" w:hAnsi="DIN Next LT Pro"/>
          <w:b/>
          <w:color w:val="000000" w:themeColor="text1"/>
        </w:rPr>
        <w:t>bugetul de stat,</w:t>
      </w:r>
      <w:r w:rsidRPr="00EA0C25">
        <w:rPr>
          <w:rFonts w:ascii="DIN Next LT Pro" w:hAnsi="DIN Next LT Pro"/>
          <w:color w:val="000000" w:themeColor="text1"/>
        </w:rPr>
        <w:t xml:space="preserve"> precum şi contribuţiile pentru asigurările sociale de stat, valabil la data limită pentru încărcarea propunerilor de proiecte;</w:t>
      </w:r>
    </w:p>
    <w:p w14:paraId="71B45742" w14:textId="77777777" w:rsidR="002F7696" w:rsidRPr="00EA0C25" w:rsidRDefault="002F7696" w:rsidP="002F7696">
      <w:pPr>
        <w:tabs>
          <w:tab w:val="num" w:pos="1080"/>
        </w:tabs>
        <w:suppressAutoHyphens w:val="0"/>
        <w:jc w:val="both"/>
        <w:rPr>
          <w:rFonts w:ascii="DIN Next LT Pro" w:hAnsi="DIN Next LT Pro"/>
          <w:color w:val="000000" w:themeColor="text1"/>
        </w:rPr>
      </w:pPr>
      <w:r w:rsidRPr="00EA0C25">
        <w:rPr>
          <w:rFonts w:ascii="DIN Next LT Pro" w:hAnsi="DIN Next LT Pro"/>
          <w:color w:val="000000" w:themeColor="text1"/>
        </w:rPr>
        <w:t>9. Certificat de atestare fiscală din care să rezulte că şi-a îndeplinit obligaţiile de plată exigibile a impozitelor şi taxelor către</w:t>
      </w:r>
      <w:r w:rsidRPr="00EA0C25">
        <w:rPr>
          <w:rFonts w:ascii="DIN Next LT Pro" w:hAnsi="DIN Next LT Pro"/>
          <w:b/>
          <w:color w:val="000000" w:themeColor="text1"/>
        </w:rPr>
        <w:t xml:space="preserve"> bugetul local,</w:t>
      </w:r>
      <w:r w:rsidRPr="00EA0C25">
        <w:rPr>
          <w:rFonts w:ascii="DIN Next LT Pro" w:hAnsi="DIN Next LT Pro"/>
          <w:color w:val="000000" w:themeColor="text1"/>
        </w:rPr>
        <w:t xml:space="preserve"> valabil la data limită pentru încărcarea propunerilor de proiecte;</w:t>
      </w:r>
    </w:p>
    <w:p w14:paraId="2E84657B" w14:textId="77777777" w:rsidR="002F7696" w:rsidRPr="00EA0C25" w:rsidRDefault="002F7696" w:rsidP="002F7696">
      <w:pPr>
        <w:jc w:val="both"/>
        <w:rPr>
          <w:rFonts w:ascii="DIN Next LT Pro" w:hAnsi="DIN Next LT Pro" w:cs="Liberation Serif"/>
          <w:color w:val="000000" w:themeColor="text1"/>
        </w:rPr>
      </w:pPr>
      <w:r w:rsidRPr="00EA0C25">
        <w:rPr>
          <w:rFonts w:ascii="DIN Next LT Pro" w:hAnsi="DIN Next LT Pro" w:cs="Liberation Serif"/>
          <w:color w:val="000000" w:themeColor="text1"/>
        </w:rPr>
        <w:lastRenderedPageBreak/>
        <w:t>10. Alte documente relevante privind activitatea semnificativă a asociației, fundației sau organizației neguvernamentale fără scop lucrativ, după caz;</w:t>
      </w:r>
    </w:p>
    <w:p w14:paraId="2835E5BE" w14:textId="77777777" w:rsidR="002F7696" w:rsidRPr="00EA0C25" w:rsidRDefault="002F7696" w:rsidP="002F7696">
      <w:pPr>
        <w:jc w:val="both"/>
        <w:rPr>
          <w:rFonts w:ascii="DIN Next LT Pro" w:hAnsi="DIN Next LT Pro"/>
          <w:b/>
          <w:bCs/>
          <w:color w:val="000000" w:themeColor="text1"/>
          <w:u w:val="single"/>
        </w:rPr>
      </w:pPr>
      <w:r w:rsidRPr="00EA0C25">
        <w:rPr>
          <w:rFonts w:ascii="DIN Next LT Pro" w:hAnsi="DIN Next LT Pro"/>
          <w:color w:val="000000" w:themeColor="text1"/>
        </w:rPr>
        <w:t>Finanțarea nerambursabilă nu poate fi folosită la activități generatoare de venit.</w:t>
      </w:r>
    </w:p>
    <w:p w14:paraId="36BB7D7F" w14:textId="77777777" w:rsidR="002F7696" w:rsidRPr="00EA0C25" w:rsidRDefault="002F7696" w:rsidP="002F7696">
      <w:pPr>
        <w:jc w:val="both"/>
        <w:rPr>
          <w:rFonts w:ascii="DIN Next LT Pro" w:hAnsi="DIN Next LT Pro"/>
          <w:color w:val="000000" w:themeColor="text1"/>
        </w:rPr>
      </w:pPr>
      <w:r w:rsidRPr="00EA0C25">
        <w:rPr>
          <w:rFonts w:ascii="DIN Next LT Pro" w:hAnsi="DIN Next LT Pro"/>
          <w:b/>
          <w:bCs/>
          <w:color w:val="000000" w:themeColor="text1"/>
          <w:u w:val="single"/>
        </w:rPr>
        <w:t>Solicitanții trebuie să dovedească că:</w:t>
      </w:r>
    </w:p>
    <w:p w14:paraId="51CA31F3" w14:textId="77777777" w:rsidR="002F7696" w:rsidRPr="00EA0C25" w:rsidRDefault="002F7696" w:rsidP="002F7696">
      <w:pPr>
        <w:jc w:val="both"/>
        <w:rPr>
          <w:rFonts w:ascii="DIN Next LT Pro" w:hAnsi="DIN Next LT Pro"/>
          <w:color w:val="000000" w:themeColor="text1"/>
        </w:rPr>
      </w:pPr>
      <w:r w:rsidRPr="00EA0C25">
        <w:rPr>
          <w:rFonts w:ascii="DIN Next LT Pro" w:hAnsi="DIN Next LT Pro"/>
          <w:color w:val="000000" w:themeColor="text1"/>
        </w:rPr>
        <w:t xml:space="preserve">    a) nu au datorii la bugetul de stat sau la bugetul local;</w:t>
      </w:r>
    </w:p>
    <w:p w14:paraId="54EB15B0" w14:textId="77777777" w:rsidR="002F7696" w:rsidRPr="00EA0C25" w:rsidRDefault="002F7696" w:rsidP="002F7696">
      <w:pPr>
        <w:jc w:val="both"/>
        <w:rPr>
          <w:rFonts w:ascii="DIN Next LT Pro" w:hAnsi="DIN Next LT Pro"/>
          <w:color w:val="000000" w:themeColor="text1"/>
        </w:rPr>
      </w:pPr>
      <w:r w:rsidRPr="00EA0C25">
        <w:rPr>
          <w:rFonts w:ascii="DIN Next LT Pro" w:hAnsi="DIN Next LT Pro"/>
          <w:color w:val="000000" w:themeColor="text1"/>
        </w:rPr>
        <w:t xml:space="preserve">    b) au respectat obligațiile asumate prin contractele de finanțare nerambursabilă anterioare.</w:t>
      </w:r>
    </w:p>
    <w:p w14:paraId="59ABD5AE" w14:textId="77777777" w:rsidR="002F7696" w:rsidRPr="00EA0C25" w:rsidRDefault="002F7696" w:rsidP="002F7696">
      <w:pPr>
        <w:jc w:val="both"/>
        <w:rPr>
          <w:rFonts w:ascii="DIN Next LT Pro" w:hAnsi="DIN Next LT Pro"/>
          <w:color w:val="000000" w:themeColor="text1"/>
        </w:rPr>
      </w:pPr>
      <w:r w:rsidRPr="00EA0C25">
        <w:rPr>
          <w:rFonts w:ascii="DIN Next LT Pro" w:hAnsi="DIN Next LT Pro"/>
          <w:color w:val="000000" w:themeColor="text1"/>
        </w:rPr>
        <w:t>Municipiul Miercurea-Ciuc va efectua plata către organizații /fundații prin virament în contul bancar al acestora, într-o singură tranșă / sau mai multe tranșe conform celor prevăzute în contractul de finanțare, după validarea raportului intermediar sau final de activitate și a raportului financiar, pe baza documentelor justificative ale cheltuielilor, conform contractului de finanțare nerambursabilă, până la data limită prevăzută în contractul de finanțare nerambursabilă.</w:t>
      </w:r>
    </w:p>
    <w:p w14:paraId="30315EC3" w14:textId="77777777" w:rsidR="002F7696" w:rsidRPr="00EA0C25" w:rsidRDefault="002F7696" w:rsidP="002F7696">
      <w:pPr>
        <w:jc w:val="both"/>
        <w:rPr>
          <w:rFonts w:ascii="DIN Next LT Pro" w:hAnsi="DIN Next LT Pro"/>
          <w:color w:val="000000" w:themeColor="text1"/>
        </w:rPr>
      </w:pPr>
      <w:r w:rsidRPr="00EA0C25">
        <w:rPr>
          <w:rFonts w:ascii="DIN Next LT Pro" w:hAnsi="DIN Next LT Pro"/>
          <w:color w:val="000000" w:themeColor="text1"/>
        </w:rPr>
        <w:t xml:space="preserve">Pe baza prevederilor Legii nr. 350/2005: </w:t>
      </w:r>
    </w:p>
    <w:p w14:paraId="710D1D8D" w14:textId="77777777" w:rsidR="002F7696" w:rsidRPr="00EA0C25" w:rsidRDefault="002F7696" w:rsidP="002F7696">
      <w:pPr>
        <w:numPr>
          <w:ilvl w:val="0"/>
          <w:numId w:val="1"/>
        </w:numPr>
        <w:spacing w:after="0" w:line="240" w:lineRule="auto"/>
        <w:ind w:left="0" w:firstLine="0"/>
        <w:jc w:val="both"/>
        <w:rPr>
          <w:rFonts w:ascii="DIN Next LT Pro" w:hAnsi="DIN Next LT Pro"/>
          <w:color w:val="000000" w:themeColor="text1"/>
        </w:rPr>
      </w:pPr>
      <w:r w:rsidRPr="00EA0C25">
        <w:rPr>
          <w:rFonts w:ascii="DIN Next LT Pro" w:hAnsi="DIN Next LT Pro"/>
          <w:color w:val="000000" w:themeColor="text1"/>
        </w:rPr>
        <w:t xml:space="preserve">Finanțările nerambursabile trebuie însoțite de o contribuție proprie de minimum 10% din valoarea totală eligibilă a finanțării din partea beneficiarului. Astfel organizația beneficiară trebuie să prezinte documentele justificative și pentru suma ce reprezintă contribuția proprie (factură și chitanță sau ordin de plată). </w:t>
      </w:r>
    </w:p>
    <w:p w14:paraId="1F33ABB3" w14:textId="77777777" w:rsidR="002F7696" w:rsidRPr="00EA0C25" w:rsidRDefault="002F7696" w:rsidP="002F7696">
      <w:pPr>
        <w:numPr>
          <w:ilvl w:val="0"/>
          <w:numId w:val="1"/>
        </w:numPr>
        <w:spacing w:after="0" w:line="240" w:lineRule="auto"/>
        <w:ind w:left="0" w:firstLine="0"/>
        <w:jc w:val="both"/>
        <w:rPr>
          <w:rFonts w:ascii="DIN Next LT Pro" w:hAnsi="DIN Next LT Pro"/>
          <w:color w:val="000000" w:themeColor="text1"/>
        </w:rPr>
      </w:pPr>
      <w:r w:rsidRPr="00EA0C25">
        <w:rPr>
          <w:rFonts w:ascii="DIN Next LT Pro" w:hAnsi="DIN Next LT Pro"/>
          <w:color w:val="000000" w:themeColor="text1"/>
        </w:rPr>
        <w:t>Autoritatea finanțatoare și beneficiarul pot stabili în contractul de finanțare nerambursabilă ca plățile către beneficiar să se facă în tranșe,  în raport cu faza de execuție a proiectului și cu cheltuielile aferente, în funcție de evaluarea posibilelor riscuri financiare, de durata și evoluția în timp a activității finanțate ori de costurile interne de organizare și funcționare ale beneficiarului. Ultima tranșă nu poate fi mai mică de 15% din valoarea totală a contractului.</w:t>
      </w:r>
    </w:p>
    <w:p w14:paraId="1C4EC713" w14:textId="77777777" w:rsidR="002F7696" w:rsidRPr="00EA0C25" w:rsidRDefault="002F7696" w:rsidP="002F7696">
      <w:pPr>
        <w:numPr>
          <w:ilvl w:val="0"/>
          <w:numId w:val="1"/>
        </w:numPr>
        <w:spacing w:after="0" w:line="240" w:lineRule="auto"/>
        <w:ind w:left="0" w:firstLine="0"/>
        <w:jc w:val="both"/>
        <w:rPr>
          <w:rFonts w:ascii="DIN Next LT Pro" w:hAnsi="DIN Next LT Pro"/>
          <w:color w:val="000000" w:themeColor="text1"/>
        </w:rPr>
      </w:pPr>
      <w:r w:rsidRPr="00EA0C25">
        <w:rPr>
          <w:rFonts w:ascii="DIN Next LT Pro" w:hAnsi="DIN Next LT Pro"/>
          <w:color w:val="000000" w:themeColor="text1"/>
        </w:rPr>
        <w:t>Pentru aceeași activitate nonprofit un beneficiar nu poate contracta decât o singură finanțare nerambursabilă de la aceeași autoritate finanțatoare în decursul unui an fiscal.</w:t>
      </w:r>
    </w:p>
    <w:p w14:paraId="1537DD9A" w14:textId="77777777" w:rsidR="002F7696" w:rsidRPr="00EA0C25" w:rsidRDefault="002F7696" w:rsidP="002F7696">
      <w:pPr>
        <w:numPr>
          <w:ilvl w:val="0"/>
          <w:numId w:val="1"/>
        </w:numPr>
        <w:spacing w:after="0" w:line="240" w:lineRule="auto"/>
        <w:ind w:left="0" w:firstLine="0"/>
        <w:jc w:val="both"/>
        <w:rPr>
          <w:rFonts w:ascii="DIN Next LT Pro" w:hAnsi="DIN Next LT Pro"/>
          <w:b/>
          <w:color w:val="000000" w:themeColor="text1"/>
        </w:rPr>
      </w:pPr>
      <w:r w:rsidRPr="00EA0C25">
        <w:rPr>
          <w:rFonts w:ascii="DIN Next LT Pro" w:hAnsi="DIN Next LT Pro"/>
          <w:color w:val="000000" w:themeColor="text1"/>
        </w:rPr>
        <w:t xml:space="preserve">Pentru fundamentarea bugetului beneficiarul va prezenta oferte de preț pentru bunurile / serviciile ce urmează a fi achiziționate pentru proiect (instrucțiuni pentru întocmirea bugetului) </w:t>
      </w:r>
    </w:p>
    <w:p w14:paraId="1B3D0B2E" w14:textId="77777777" w:rsidR="002F7696" w:rsidRPr="00EA0C25" w:rsidRDefault="002F7696" w:rsidP="002F7696">
      <w:pPr>
        <w:jc w:val="both"/>
        <w:rPr>
          <w:rFonts w:ascii="DIN Next LT Pro" w:hAnsi="DIN Next LT Pro"/>
          <w:color w:val="000000" w:themeColor="text1"/>
        </w:rPr>
      </w:pPr>
    </w:p>
    <w:p w14:paraId="0FE299F6" w14:textId="77777777" w:rsidR="002F7696" w:rsidRPr="00EA0C25" w:rsidRDefault="002F7696" w:rsidP="002F7696">
      <w:pPr>
        <w:spacing w:before="26"/>
        <w:jc w:val="both"/>
        <w:rPr>
          <w:rFonts w:ascii="DIN Next LT Pro" w:hAnsi="DIN Next LT Pro"/>
          <w:b/>
          <w:color w:val="000000" w:themeColor="text1"/>
        </w:rPr>
      </w:pPr>
      <w:r w:rsidRPr="00EA0C25">
        <w:rPr>
          <w:rFonts w:ascii="DIN Next LT Pro" w:hAnsi="DIN Next LT Pro"/>
          <w:b/>
          <w:color w:val="000000" w:themeColor="text1"/>
        </w:rPr>
        <w:t>Proiectul cultural poate fi finanţat de către una sau mai multe autorităţi finanţatoare, cu respectarea următoarelor reguli:</w:t>
      </w:r>
    </w:p>
    <w:p w14:paraId="03393954" w14:textId="77777777" w:rsidR="002F7696" w:rsidRPr="00EA0C25" w:rsidRDefault="002F7696" w:rsidP="002F7696">
      <w:pPr>
        <w:jc w:val="both"/>
        <w:rPr>
          <w:rFonts w:ascii="DIN Next LT Pro" w:hAnsi="DIN Next LT Pro"/>
          <w:color w:val="000000" w:themeColor="text1"/>
        </w:rPr>
      </w:pPr>
      <w:r w:rsidRPr="00EA0C25">
        <w:rPr>
          <w:rFonts w:ascii="DIN Next LT Pro" w:hAnsi="DIN Next LT Pro"/>
          <w:color w:val="000000" w:themeColor="text1"/>
        </w:rPr>
        <w:t>a) acordarea finanţării de către o autoritate finanţatoare nu este condiţionată de existenţa unei finanţări publice nerambursabile din partea altei autorităţi finanţatoare;</w:t>
      </w:r>
    </w:p>
    <w:p w14:paraId="4558FF84" w14:textId="77777777" w:rsidR="002F7696" w:rsidRPr="00EA0C25" w:rsidRDefault="002F7696" w:rsidP="002F7696">
      <w:pPr>
        <w:jc w:val="both"/>
        <w:rPr>
          <w:rFonts w:ascii="DIN Next LT Pro" w:hAnsi="DIN Next LT Pro"/>
          <w:color w:val="000000" w:themeColor="text1"/>
        </w:rPr>
      </w:pPr>
      <w:r w:rsidRPr="00EA0C25">
        <w:rPr>
          <w:rFonts w:ascii="DIN Next LT Pro" w:hAnsi="DIN Next LT Pro"/>
          <w:color w:val="000000" w:themeColor="text1"/>
        </w:rPr>
        <w:t>b) pentru acelaşi proiect cultural un beneficiar de drept public sau privat poate contracta de la aceeaşi autoritate finanţatoare o singură finanţare nerambursabilă;</w:t>
      </w:r>
    </w:p>
    <w:p w14:paraId="024F470C" w14:textId="77777777" w:rsidR="002F7696" w:rsidRPr="00EA0C25" w:rsidRDefault="002F7696" w:rsidP="002F7696">
      <w:pPr>
        <w:contextualSpacing/>
        <w:jc w:val="both"/>
        <w:rPr>
          <w:rFonts w:ascii="DIN Next LT Pro" w:hAnsi="DIN Next LT Pro"/>
          <w:color w:val="000000" w:themeColor="text1"/>
        </w:rPr>
      </w:pPr>
      <w:r w:rsidRPr="00EA0C25">
        <w:rPr>
          <w:rFonts w:ascii="DIN Next LT Pro" w:hAnsi="DIN Next LT Pro"/>
          <w:color w:val="000000" w:themeColor="text1"/>
        </w:rPr>
        <w:t>c) un beneficiar de drept public sau privat poate contracta finanţări nerambursabile de la aceeaşi autoritate finanţatoare, în decursul unei sesiuni/în cadrul unui program de finanţare, pentru proiecte culturale diferite, cu condiţia ca respectivele proiecte culturale să aibă scop, obiective şi durată clar/evident diferite, enunţate distinct şi fără echivoc;</w:t>
      </w:r>
    </w:p>
    <w:p w14:paraId="3665448B" w14:textId="77777777" w:rsidR="002F7696" w:rsidRPr="00EA0C25" w:rsidRDefault="002F7696" w:rsidP="002F7696">
      <w:pPr>
        <w:contextualSpacing/>
        <w:jc w:val="both"/>
        <w:rPr>
          <w:rFonts w:ascii="DIN Next LT Pro" w:hAnsi="DIN Next LT Pro"/>
          <w:color w:val="000000" w:themeColor="text1"/>
        </w:rPr>
      </w:pPr>
      <w:r w:rsidRPr="00EA0C25">
        <w:rPr>
          <w:rFonts w:ascii="DIN Next LT Pro" w:hAnsi="DIN Next LT Pro"/>
          <w:color w:val="000000" w:themeColor="text1"/>
        </w:rPr>
        <w:t>d )o cheltuială eligibilă din cadrul proiectului nu poate fi decontată din două sau mai multe surse de finanţare, în cazul în care finanţările acordate însumate depăşesc costul efectiv al cheltuielii sau al desfăşurării activităţii;</w:t>
      </w:r>
    </w:p>
    <w:p w14:paraId="66035047" w14:textId="77777777" w:rsidR="002F7696" w:rsidRPr="00EA0C25" w:rsidRDefault="002F7696" w:rsidP="002F7696">
      <w:pPr>
        <w:contextualSpacing/>
        <w:jc w:val="both"/>
        <w:rPr>
          <w:rFonts w:ascii="DIN Next LT Pro" w:hAnsi="DIN Next LT Pro"/>
          <w:color w:val="000000" w:themeColor="text1"/>
        </w:rPr>
      </w:pPr>
      <w:r w:rsidRPr="00EA0C25">
        <w:rPr>
          <w:rFonts w:ascii="DIN Next LT Pro" w:hAnsi="DIN Next LT Pro"/>
          <w:color w:val="000000" w:themeColor="text1"/>
        </w:rPr>
        <w:lastRenderedPageBreak/>
        <w:t>e) beneficiarul are obligaţia de a identifica şi atrage, în etapa de pregătire a proiectului cultural sau, după caz, în cea de executare a contractului de finanţare, surse complementare de finanţare.</w:t>
      </w:r>
    </w:p>
    <w:p w14:paraId="282BA516" w14:textId="77777777" w:rsidR="002F7696" w:rsidRPr="00EA0C25" w:rsidRDefault="002F7696" w:rsidP="002F7696">
      <w:pPr>
        <w:spacing w:before="26"/>
        <w:contextualSpacing/>
        <w:jc w:val="both"/>
        <w:rPr>
          <w:rFonts w:ascii="DIN Next LT Pro" w:hAnsi="DIN Next LT Pro"/>
          <w:color w:val="000000" w:themeColor="text1"/>
        </w:rPr>
      </w:pPr>
      <w:r w:rsidRPr="00EA0C25">
        <w:rPr>
          <w:rFonts w:ascii="DIN Next LT Pro" w:hAnsi="DIN Next LT Pro"/>
          <w:color w:val="000000" w:themeColor="text1"/>
        </w:rPr>
        <w:t>Autoritatea finanţatoare de nivel local, judeţean sau central cu care beneficiarul încheie primul contract de finanţare a proiectului cultural are calitatea de finanţator principal.</w:t>
      </w:r>
    </w:p>
    <w:p w14:paraId="2D69090C" w14:textId="77777777" w:rsidR="002F7696" w:rsidRPr="00EA0C25" w:rsidRDefault="002F7696" w:rsidP="002F7696">
      <w:pPr>
        <w:spacing w:before="26"/>
        <w:contextualSpacing/>
        <w:jc w:val="both"/>
        <w:rPr>
          <w:rFonts w:ascii="DIN Next LT Pro" w:hAnsi="DIN Next LT Pro"/>
          <w:color w:val="000000" w:themeColor="text1"/>
        </w:rPr>
      </w:pPr>
      <w:r w:rsidRPr="00EA0C25">
        <w:rPr>
          <w:rFonts w:ascii="DIN Next LT Pro" w:hAnsi="DIN Next LT Pro"/>
          <w:color w:val="000000" w:themeColor="text1"/>
        </w:rPr>
        <w:t>Autoritatea finanţatoare de nivel local, judeţean sau central cu care beneficiarul încheie contracte ulterioare de finanţare a proiectului cultural are calitatea de cofinanţator.</w:t>
      </w:r>
    </w:p>
    <w:p w14:paraId="318CD2D9" w14:textId="77777777" w:rsidR="002F7696" w:rsidRPr="00EA0C25" w:rsidRDefault="002F7696" w:rsidP="002F7696">
      <w:pPr>
        <w:spacing w:before="26"/>
        <w:jc w:val="both"/>
        <w:rPr>
          <w:rFonts w:ascii="DIN Next LT Pro" w:hAnsi="DIN Next LT Pro"/>
          <w:color w:val="000000" w:themeColor="text1"/>
        </w:rPr>
      </w:pPr>
    </w:p>
    <w:p w14:paraId="02819F3C" w14:textId="77777777" w:rsidR="002F7696" w:rsidRPr="00EA0C25" w:rsidRDefault="002F7696" w:rsidP="002F7696">
      <w:pPr>
        <w:spacing w:before="26"/>
        <w:jc w:val="both"/>
        <w:rPr>
          <w:rFonts w:ascii="DIN Next LT Pro" w:hAnsi="DIN Next LT Pro"/>
          <w:color w:val="000000" w:themeColor="text1"/>
        </w:rPr>
      </w:pPr>
      <w:r w:rsidRPr="00EA0C25">
        <w:rPr>
          <w:rFonts w:ascii="DIN Next LT Pro" w:hAnsi="DIN Next LT Pro"/>
          <w:b/>
          <w:color w:val="000000" w:themeColor="text1"/>
        </w:rPr>
        <w:t>Solicitantul are obligaţia de a menţiona în cererea de finanţare toate sursele publice de finanţare, existente la momentul depunerii acesteia, precizând următoarele:</w:t>
      </w:r>
    </w:p>
    <w:p w14:paraId="41C67074" w14:textId="77777777" w:rsidR="002F7696" w:rsidRPr="00EA0C25" w:rsidRDefault="002F7696" w:rsidP="002F7696">
      <w:pPr>
        <w:jc w:val="both"/>
        <w:rPr>
          <w:rFonts w:ascii="DIN Next LT Pro" w:hAnsi="DIN Next LT Pro"/>
          <w:color w:val="000000" w:themeColor="text1"/>
        </w:rPr>
      </w:pPr>
      <w:r w:rsidRPr="00EA0C25">
        <w:rPr>
          <w:rFonts w:ascii="DIN Next LT Pro" w:hAnsi="DIN Next LT Pro"/>
          <w:color w:val="000000" w:themeColor="text1"/>
        </w:rPr>
        <w:t>a)cheltuielile eligibile cuprinse în contractele de finanţare nerambursabilă încheiate;</w:t>
      </w:r>
    </w:p>
    <w:p w14:paraId="74D4D9B2" w14:textId="77777777" w:rsidR="002F7696" w:rsidRPr="00EA0C25" w:rsidRDefault="002F7696" w:rsidP="002F7696">
      <w:pPr>
        <w:jc w:val="both"/>
        <w:rPr>
          <w:rFonts w:ascii="DIN Next LT Pro" w:hAnsi="DIN Next LT Pro"/>
          <w:color w:val="000000" w:themeColor="text1"/>
        </w:rPr>
      </w:pPr>
      <w:r w:rsidRPr="00EA0C25">
        <w:rPr>
          <w:rFonts w:ascii="DIN Next LT Pro" w:hAnsi="DIN Next LT Pro"/>
          <w:color w:val="000000" w:themeColor="text1"/>
        </w:rPr>
        <w:t>b)cererile de finanţare depuse la alte autorităţi finanţatoare.</w:t>
      </w:r>
    </w:p>
    <w:p w14:paraId="24B0846A" w14:textId="77777777" w:rsidR="002F7696" w:rsidRPr="00EA0C25" w:rsidRDefault="002F7696" w:rsidP="002F7696">
      <w:pPr>
        <w:jc w:val="both"/>
        <w:rPr>
          <w:rFonts w:ascii="DIN Next LT Pro" w:hAnsi="DIN Next LT Pro"/>
          <w:color w:val="000000" w:themeColor="text1"/>
        </w:rPr>
      </w:pPr>
    </w:p>
    <w:p w14:paraId="22D4AF00" w14:textId="77777777" w:rsidR="002F7696" w:rsidRPr="00EA0C25" w:rsidRDefault="002F7696" w:rsidP="002F7696">
      <w:pPr>
        <w:spacing w:before="26"/>
        <w:jc w:val="both"/>
        <w:rPr>
          <w:rFonts w:ascii="DIN Next LT Pro" w:hAnsi="DIN Next LT Pro"/>
          <w:color w:val="000000" w:themeColor="text1"/>
        </w:rPr>
      </w:pPr>
      <w:r w:rsidRPr="00EA0C25">
        <w:rPr>
          <w:rFonts w:ascii="DIN Next LT Pro" w:hAnsi="DIN Next LT Pro"/>
          <w:color w:val="000000" w:themeColor="text1"/>
        </w:rPr>
        <w:t>Solicitantul are obligaţia de a menţiona în cererea de finanţare datele de identificare ale fiecărui proiect cultural, pentru care a depus cereri de finanţare în cadrul unei sesiuni sau, după caz, unui program de finanţare, la aceeaşi autoritate finanţatoare, evidenţiind diferenţele specifice privind scopul, obiectivele, perioada de derulare ale fiecăruia.</w:t>
      </w:r>
    </w:p>
    <w:p w14:paraId="544A5A55" w14:textId="77777777" w:rsidR="002F7696" w:rsidRPr="00EA0C25" w:rsidRDefault="002F7696" w:rsidP="002F7696">
      <w:pPr>
        <w:spacing w:before="26"/>
        <w:jc w:val="both"/>
        <w:rPr>
          <w:rFonts w:ascii="DIN Next LT Pro" w:hAnsi="DIN Next LT Pro"/>
          <w:color w:val="000000" w:themeColor="text1"/>
        </w:rPr>
      </w:pPr>
      <w:r w:rsidRPr="00EA0C25">
        <w:rPr>
          <w:rFonts w:ascii="DIN Next LT Pro" w:hAnsi="DIN Next LT Pro"/>
          <w:b/>
          <w:color w:val="000000" w:themeColor="text1"/>
        </w:rPr>
        <w:t>Sursele complementare de finanţare ale proiectului cultural pot proveni inclusiv, dar fără a se limita la acestea, din:</w:t>
      </w:r>
    </w:p>
    <w:p w14:paraId="437845B9" w14:textId="77777777" w:rsidR="002F7696" w:rsidRPr="00EA0C25" w:rsidRDefault="002F7696" w:rsidP="002F7696">
      <w:pPr>
        <w:jc w:val="both"/>
        <w:rPr>
          <w:rFonts w:ascii="DIN Next LT Pro" w:hAnsi="DIN Next LT Pro"/>
          <w:color w:val="000000" w:themeColor="text1"/>
        </w:rPr>
      </w:pPr>
      <w:r w:rsidRPr="00EA0C25">
        <w:rPr>
          <w:rFonts w:ascii="DIN Next LT Pro" w:hAnsi="DIN Next LT Pro"/>
          <w:color w:val="000000" w:themeColor="text1"/>
        </w:rPr>
        <w:t>a) contracte încheiate cu persoane juridice de drept public ori privat, cu sau fără scop lucrativ;</w:t>
      </w:r>
    </w:p>
    <w:p w14:paraId="781791AF" w14:textId="77777777" w:rsidR="002F7696" w:rsidRPr="00EA0C25" w:rsidRDefault="002F7696" w:rsidP="002F7696">
      <w:pPr>
        <w:jc w:val="both"/>
        <w:rPr>
          <w:rFonts w:ascii="DIN Next LT Pro" w:hAnsi="DIN Next LT Pro"/>
          <w:color w:val="000000" w:themeColor="text1"/>
        </w:rPr>
      </w:pPr>
      <w:r w:rsidRPr="00EA0C25">
        <w:rPr>
          <w:rFonts w:ascii="DIN Next LT Pro" w:hAnsi="DIN Next LT Pro"/>
          <w:color w:val="000000" w:themeColor="text1"/>
        </w:rPr>
        <w:t>b) realizarea de activităţi generatoare de venituri pentru acoperirea unei fracţiuni din costurile reale ale proiectului cultural, precum: vânzarea biletelor de intrare, perceperea unei taxe de participare, vânzarea cărţilor, publicaţiilor şi/sau a altor produse culturale;</w:t>
      </w:r>
    </w:p>
    <w:p w14:paraId="3B3CF1B7" w14:textId="77777777" w:rsidR="002F7696" w:rsidRPr="00EA0C25" w:rsidRDefault="002F7696" w:rsidP="002F7696">
      <w:pPr>
        <w:jc w:val="both"/>
        <w:rPr>
          <w:rFonts w:ascii="DIN Next LT Pro" w:hAnsi="DIN Next LT Pro"/>
          <w:color w:val="000000" w:themeColor="text1"/>
        </w:rPr>
      </w:pPr>
      <w:r w:rsidRPr="00EA0C25">
        <w:rPr>
          <w:rFonts w:ascii="DIN Next LT Pro" w:hAnsi="DIN Next LT Pro"/>
          <w:color w:val="000000" w:themeColor="text1"/>
        </w:rPr>
        <w:t>c) venituri din activităţi cu caracter economic sau excedentul rezultat din activitatea curentă a beneficiarului, după caz;</w:t>
      </w:r>
    </w:p>
    <w:p w14:paraId="2C11DF29" w14:textId="77777777" w:rsidR="002F7696" w:rsidRPr="00EA0C25" w:rsidRDefault="002F7696" w:rsidP="002F7696">
      <w:pPr>
        <w:jc w:val="both"/>
        <w:rPr>
          <w:rFonts w:ascii="DIN Next LT Pro" w:hAnsi="DIN Next LT Pro"/>
          <w:color w:val="000000" w:themeColor="text1"/>
        </w:rPr>
      </w:pPr>
      <w:r w:rsidRPr="00EA0C25">
        <w:rPr>
          <w:rFonts w:ascii="DIN Next LT Pro" w:hAnsi="DIN Next LT Pro"/>
          <w:color w:val="000000" w:themeColor="text1"/>
        </w:rPr>
        <w:t>d) venituri din activităţi de voluntariat, cuantificabile prin raportare la valoarea salariului de bază minim brut garantat în plată pentru fiecare contract de voluntariat.</w:t>
      </w:r>
    </w:p>
    <w:p w14:paraId="44AAEE07" w14:textId="77777777" w:rsidR="002F7696" w:rsidRPr="00EA0C25" w:rsidRDefault="002F7696" w:rsidP="002F7696">
      <w:pPr>
        <w:spacing w:before="26"/>
        <w:jc w:val="both"/>
        <w:rPr>
          <w:rFonts w:ascii="DIN Next LT Pro" w:hAnsi="DIN Next LT Pro"/>
          <w:color w:val="000000" w:themeColor="text1"/>
        </w:rPr>
      </w:pPr>
      <w:r w:rsidRPr="00EA0C25">
        <w:rPr>
          <w:rFonts w:ascii="DIN Next LT Pro" w:hAnsi="DIN Next LT Pro"/>
          <w:color w:val="000000" w:themeColor="text1"/>
        </w:rPr>
        <w:t>Beneficiarul are obligaţia depunerii documentelor justificative privind atragerea surselor complementare de finanţare la termenele, în forma şi în limita prevăzută în contractul de finanţare nerambursabilă, constatarea de către autoritatea finanţatoare a nerespectării obligaţiei fiind motiv de reziliere a contractului şi titlu executoriu pentru recuperarea sumelor acordate.</w:t>
      </w:r>
    </w:p>
    <w:p w14:paraId="6C7A5CFB" w14:textId="77777777" w:rsidR="002F7696" w:rsidRPr="00EA0C25" w:rsidRDefault="002F7696" w:rsidP="002F7696">
      <w:pPr>
        <w:spacing w:before="26"/>
        <w:jc w:val="both"/>
        <w:rPr>
          <w:rFonts w:ascii="DIN Next LT Pro" w:hAnsi="DIN Next LT Pro"/>
          <w:color w:val="000000" w:themeColor="text1"/>
        </w:rPr>
      </w:pPr>
      <w:r w:rsidRPr="00EA0C25">
        <w:rPr>
          <w:rFonts w:ascii="DIN Next LT Pro" w:hAnsi="DIN Next LT Pro"/>
          <w:color w:val="000000" w:themeColor="text1"/>
        </w:rPr>
        <w:t>Persoanele juridice de drept public, finanţate integral sau parţial de la bugetul de stat prin bugetul autorităţilor administraţiei publice centrale sau, după caz, din bugetul local, pot beneficia de finanţare nerambursabilă, în condiţiile prezentei ordonanţe, din partea oricărei autorităţi finanţatoare, cu excepţia celei în subordinea căreia funcţionează, fără ca valoarea cumulată a finanţărilor nerambursabile acordate de o autoritate finanţatoare acestor entităţi să depăşească o treime din fondul destinat proiectelor culturale, suma de 1.000.000,00 lei.</w:t>
      </w:r>
    </w:p>
    <w:p w14:paraId="2D4DEC3E" w14:textId="77777777" w:rsidR="002F7696" w:rsidRPr="00EA0C25" w:rsidRDefault="002F7696" w:rsidP="002F7696">
      <w:pPr>
        <w:spacing w:before="26"/>
        <w:jc w:val="both"/>
        <w:rPr>
          <w:rFonts w:ascii="DIN Next LT Pro" w:hAnsi="DIN Next LT Pro"/>
          <w:color w:val="000000" w:themeColor="text1"/>
        </w:rPr>
      </w:pPr>
      <w:r w:rsidRPr="00EA0C25">
        <w:rPr>
          <w:rFonts w:ascii="DIN Next LT Pro" w:hAnsi="DIN Next LT Pro"/>
          <w:color w:val="000000" w:themeColor="text1"/>
        </w:rPr>
        <w:t>Persoanele juridice de drept public, finanţate integral din venituri proprii, pot beneficia de finanţare nerambursabilă, în condiţiile prezentei ordonanţe, din partea oricărei autorităţi finanţatoare.</w:t>
      </w:r>
    </w:p>
    <w:p w14:paraId="216CBF19" w14:textId="77777777" w:rsidR="002F7696" w:rsidRPr="00EA0C25" w:rsidRDefault="002F7696" w:rsidP="002F7696">
      <w:pPr>
        <w:tabs>
          <w:tab w:val="left" w:pos="720"/>
        </w:tabs>
        <w:jc w:val="both"/>
        <w:rPr>
          <w:rFonts w:ascii="DIN Next LT Pro" w:hAnsi="DIN Next LT Pro"/>
          <w:color w:val="000000" w:themeColor="text1"/>
        </w:rPr>
      </w:pPr>
      <w:r w:rsidRPr="00EA0C25">
        <w:rPr>
          <w:rFonts w:ascii="DIN Next LT Pro" w:hAnsi="DIN Next LT Pro"/>
          <w:b/>
          <w:color w:val="000000" w:themeColor="text1"/>
          <w:u w:val="single"/>
        </w:rPr>
        <w:lastRenderedPageBreak/>
        <w:t>Proiectul este neeligibil în cazul în care:</w:t>
      </w:r>
    </w:p>
    <w:p w14:paraId="63EBDAE0" w14:textId="77777777" w:rsidR="002F7696" w:rsidRPr="00EA0C25" w:rsidRDefault="002F7696" w:rsidP="002F7696">
      <w:pPr>
        <w:numPr>
          <w:ilvl w:val="3"/>
          <w:numId w:val="2"/>
        </w:numPr>
        <w:tabs>
          <w:tab w:val="left" w:pos="360"/>
          <w:tab w:val="left" w:pos="720"/>
        </w:tabs>
        <w:spacing w:after="0" w:line="240" w:lineRule="auto"/>
        <w:ind w:left="0" w:firstLine="0"/>
        <w:jc w:val="both"/>
        <w:rPr>
          <w:rFonts w:ascii="DIN Next LT Pro" w:hAnsi="DIN Next LT Pro"/>
          <w:color w:val="000000" w:themeColor="text1"/>
        </w:rPr>
      </w:pPr>
      <w:r w:rsidRPr="00EA0C25">
        <w:rPr>
          <w:rFonts w:ascii="DIN Next LT Pro" w:hAnsi="DIN Next LT Pro"/>
          <w:color w:val="000000" w:themeColor="text1"/>
        </w:rPr>
        <w:t>este depus după termenul indicat;</w:t>
      </w:r>
    </w:p>
    <w:p w14:paraId="6A38B770" w14:textId="77777777" w:rsidR="002F7696" w:rsidRPr="00EA0C25" w:rsidRDefault="002F7696" w:rsidP="002F7696">
      <w:pPr>
        <w:numPr>
          <w:ilvl w:val="3"/>
          <w:numId w:val="2"/>
        </w:numPr>
        <w:tabs>
          <w:tab w:val="left" w:pos="284"/>
        </w:tabs>
        <w:spacing w:after="0" w:line="240" w:lineRule="auto"/>
        <w:ind w:left="0" w:firstLine="0"/>
        <w:jc w:val="both"/>
        <w:rPr>
          <w:rFonts w:ascii="DIN Next LT Pro" w:hAnsi="DIN Next LT Pro"/>
          <w:color w:val="000000" w:themeColor="text1"/>
        </w:rPr>
      </w:pPr>
      <w:r w:rsidRPr="00EA0C25">
        <w:rPr>
          <w:rFonts w:ascii="DIN Next LT Pro" w:hAnsi="DIN Next LT Pro"/>
          <w:color w:val="000000" w:themeColor="text1"/>
        </w:rPr>
        <w:t xml:space="preserve"> nu este complet, sau nu sunt prezentate completările în termenul solicitat proiectul nu corespunde obiectivelor enumerate mai sus;</w:t>
      </w:r>
    </w:p>
    <w:p w14:paraId="1CE22B64" w14:textId="77777777" w:rsidR="002F7696" w:rsidRPr="00EA0C25" w:rsidRDefault="002F7696" w:rsidP="002F7696">
      <w:pPr>
        <w:numPr>
          <w:ilvl w:val="3"/>
          <w:numId w:val="2"/>
        </w:numPr>
        <w:tabs>
          <w:tab w:val="left" w:pos="284"/>
        </w:tabs>
        <w:spacing w:after="0" w:line="240" w:lineRule="auto"/>
        <w:ind w:left="0" w:firstLine="0"/>
        <w:jc w:val="both"/>
        <w:rPr>
          <w:rFonts w:ascii="DIN Next LT Pro" w:hAnsi="DIN Next LT Pro"/>
          <w:color w:val="000000" w:themeColor="text1"/>
        </w:rPr>
      </w:pPr>
      <w:r w:rsidRPr="00EA0C25">
        <w:rPr>
          <w:rFonts w:ascii="DIN Next LT Pro" w:hAnsi="DIN Next LT Pro"/>
          <w:color w:val="000000" w:themeColor="text1"/>
        </w:rPr>
        <w:t>proiectul nu este depus conform formularului solicitat sau nu sunt anexate documentele solicitate;</w:t>
      </w:r>
    </w:p>
    <w:p w14:paraId="2BA75DCB" w14:textId="77777777" w:rsidR="002F7696" w:rsidRPr="00EA0C25" w:rsidRDefault="002F7696" w:rsidP="002F7696">
      <w:pPr>
        <w:numPr>
          <w:ilvl w:val="3"/>
          <w:numId w:val="2"/>
        </w:numPr>
        <w:tabs>
          <w:tab w:val="left" w:pos="284"/>
        </w:tabs>
        <w:spacing w:after="0" w:line="240" w:lineRule="auto"/>
        <w:ind w:left="0" w:firstLine="0"/>
        <w:jc w:val="both"/>
        <w:rPr>
          <w:rFonts w:ascii="DIN Next LT Pro" w:hAnsi="DIN Next LT Pro"/>
          <w:color w:val="000000" w:themeColor="text1"/>
        </w:rPr>
      </w:pPr>
      <w:r w:rsidRPr="00EA0C25">
        <w:rPr>
          <w:rFonts w:ascii="DIN Next LT Pro" w:hAnsi="DIN Next LT Pro"/>
          <w:color w:val="000000" w:themeColor="text1"/>
        </w:rPr>
        <w:t>indică mai multe arii tematice eligibile</w:t>
      </w:r>
      <w:r w:rsidRPr="00EA0C25">
        <w:rPr>
          <w:rFonts w:ascii="DIN Next LT Pro" w:hAnsi="DIN Next LT Pro"/>
          <w:b/>
          <w:color w:val="000000" w:themeColor="text1"/>
        </w:rPr>
        <w:t xml:space="preserve"> </w:t>
      </w:r>
    </w:p>
    <w:p w14:paraId="4EC5ECA4" w14:textId="77777777" w:rsidR="002F7696" w:rsidRPr="00EA0C25" w:rsidRDefault="002F7696" w:rsidP="002F7696">
      <w:pPr>
        <w:numPr>
          <w:ilvl w:val="3"/>
          <w:numId w:val="2"/>
        </w:numPr>
        <w:tabs>
          <w:tab w:val="left" w:pos="284"/>
        </w:tabs>
        <w:spacing w:after="0" w:line="240" w:lineRule="auto"/>
        <w:ind w:left="0" w:firstLine="0"/>
        <w:jc w:val="both"/>
        <w:rPr>
          <w:rFonts w:ascii="DIN Next LT Pro" w:hAnsi="DIN Next LT Pro"/>
          <w:color w:val="000000" w:themeColor="text1"/>
        </w:rPr>
      </w:pPr>
      <w:r w:rsidRPr="00EA0C25">
        <w:rPr>
          <w:rFonts w:ascii="DIN Next LT Pro" w:hAnsi="DIN Next LT Pro"/>
          <w:color w:val="000000" w:themeColor="text1"/>
        </w:rPr>
        <w:t>dacă lipsește de pe cererea de finanțare semnătura reprezentantului legal sau ștampila organizației;</w:t>
      </w:r>
    </w:p>
    <w:p w14:paraId="1A143CC0" w14:textId="77777777" w:rsidR="002F7696" w:rsidRPr="00EA0C25" w:rsidRDefault="002F7696" w:rsidP="002F7696">
      <w:pPr>
        <w:numPr>
          <w:ilvl w:val="3"/>
          <w:numId w:val="2"/>
        </w:numPr>
        <w:tabs>
          <w:tab w:val="left" w:pos="284"/>
        </w:tabs>
        <w:spacing w:after="0" w:line="240" w:lineRule="auto"/>
        <w:ind w:left="0" w:firstLine="0"/>
        <w:jc w:val="both"/>
        <w:rPr>
          <w:rFonts w:ascii="DIN Next LT Pro" w:hAnsi="DIN Next LT Pro"/>
          <w:b/>
          <w:color w:val="000000" w:themeColor="text1"/>
        </w:rPr>
      </w:pPr>
      <w:r w:rsidRPr="00EA0C25">
        <w:rPr>
          <w:rFonts w:ascii="DIN Next LT Pro" w:hAnsi="DIN Next LT Pro"/>
          <w:color w:val="000000" w:themeColor="text1"/>
        </w:rPr>
        <w:t xml:space="preserve">beneficiarul are obligația să depună decontul în termen de cel mult </w:t>
      </w:r>
      <w:r w:rsidRPr="00EA0C25">
        <w:rPr>
          <w:rFonts w:ascii="DIN Next LT Pro" w:hAnsi="DIN Next LT Pro"/>
          <w:b/>
          <w:bCs/>
          <w:color w:val="000000" w:themeColor="text1"/>
        </w:rPr>
        <w:t>30 de zile</w:t>
      </w:r>
      <w:r w:rsidRPr="00EA0C25">
        <w:rPr>
          <w:rFonts w:ascii="DIN Next LT Pro" w:hAnsi="DIN Next LT Pro"/>
          <w:color w:val="000000" w:themeColor="text1"/>
        </w:rPr>
        <w:t xml:space="preserve"> de la terminarea activităților.</w:t>
      </w:r>
    </w:p>
    <w:p w14:paraId="156B5E2E" w14:textId="77777777" w:rsidR="002F7696" w:rsidRPr="00EA0C25" w:rsidRDefault="002F7696" w:rsidP="002F7696">
      <w:pPr>
        <w:jc w:val="both"/>
        <w:rPr>
          <w:rFonts w:ascii="DIN Next LT Pro" w:hAnsi="DIN Next LT Pro"/>
          <w:b/>
          <w:color w:val="000000" w:themeColor="text1"/>
        </w:rPr>
      </w:pPr>
    </w:p>
    <w:p w14:paraId="5308C8AD" w14:textId="77777777" w:rsidR="002F7696" w:rsidRPr="00EA0C25" w:rsidRDefault="002F7696" w:rsidP="002F7696">
      <w:pPr>
        <w:jc w:val="both"/>
        <w:rPr>
          <w:rFonts w:ascii="DIN Next LT Pro" w:hAnsi="DIN Next LT Pro"/>
          <w:b/>
          <w:color w:val="000000" w:themeColor="text1"/>
          <w:u w:val="single"/>
        </w:rPr>
      </w:pPr>
      <w:r w:rsidRPr="00EA0C25">
        <w:rPr>
          <w:rFonts w:ascii="DIN Next LT Pro" w:hAnsi="DIN Next LT Pro"/>
          <w:b/>
          <w:color w:val="000000" w:themeColor="text1"/>
          <w:u w:val="single"/>
        </w:rPr>
        <w:t xml:space="preserve">Fisa de evaluare a proiectulului </w:t>
      </w:r>
    </w:p>
    <w:p w14:paraId="13077702" w14:textId="77777777" w:rsidR="002F7696" w:rsidRPr="00EA0C25" w:rsidRDefault="002F7696" w:rsidP="002F7696">
      <w:pPr>
        <w:jc w:val="both"/>
        <w:rPr>
          <w:rFonts w:ascii="DIN Next LT Pro" w:hAnsi="DIN Next LT Pro"/>
          <w:b/>
          <w:color w:val="000000" w:themeColor="text1"/>
        </w:rPr>
      </w:pPr>
    </w:p>
    <w:tbl>
      <w:tblPr>
        <w:tblW w:w="9572" w:type="dxa"/>
        <w:tblInd w:w="55" w:type="dxa"/>
        <w:tblLayout w:type="fixed"/>
        <w:tblCellMar>
          <w:top w:w="55" w:type="dxa"/>
          <w:left w:w="55" w:type="dxa"/>
          <w:bottom w:w="55" w:type="dxa"/>
          <w:right w:w="55" w:type="dxa"/>
        </w:tblCellMar>
        <w:tblLook w:val="04A0" w:firstRow="1" w:lastRow="0" w:firstColumn="1" w:lastColumn="0" w:noHBand="0" w:noVBand="1"/>
      </w:tblPr>
      <w:tblGrid>
        <w:gridCol w:w="6358"/>
        <w:gridCol w:w="3214"/>
      </w:tblGrid>
      <w:tr w:rsidR="00EA0C25" w:rsidRPr="00EA0C25" w14:paraId="6CF2AB8B" w14:textId="77777777" w:rsidTr="007342FC">
        <w:tc>
          <w:tcPr>
            <w:tcW w:w="6358" w:type="dxa"/>
            <w:tcBorders>
              <w:top w:val="single" w:sz="2" w:space="0" w:color="000000"/>
              <w:left w:val="single" w:sz="2" w:space="0" w:color="000000"/>
              <w:bottom w:val="single" w:sz="2" w:space="0" w:color="000000"/>
              <w:right w:val="nil"/>
            </w:tcBorders>
            <w:hideMark/>
          </w:tcPr>
          <w:p w14:paraId="206D3942" w14:textId="77777777" w:rsidR="002F7696" w:rsidRPr="00EA0C25" w:rsidRDefault="002F7696" w:rsidP="007342FC">
            <w:pPr>
              <w:pStyle w:val="TableContents"/>
              <w:contextualSpacing/>
              <w:jc w:val="center"/>
              <w:rPr>
                <w:rFonts w:ascii="DIN Next LT Pro" w:hAnsi="DIN Next LT Pro"/>
                <w:b/>
                <w:bCs/>
                <w:color w:val="000000" w:themeColor="text1"/>
                <w:sz w:val="22"/>
                <w:szCs w:val="22"/>
              </w:rPr>
            </w:pPr>
            <w:r w:rsidRPr="00EA0C25">
              <w:rPr>
                <w:rFonts w:ascii="DIN Next LT Pro" w:hAnsi="DIN Next LT Pro"/>
                <w:b/>
                <w:bCs/>
                <w:color w:val="000000" w:themeColor="text1"/>
                <w:sz w:val="22"/>
                <w:szCs w:val="22"/>
                <w:lang w:val="hu-HU"/>
              </w:rPr>
              <w:t>Verificarea formal</w:t>
            </w:r>
            <w:r w:rsidRPr="00EA0C25">
              <w:rPr>
                <w:rFonts w:ascii="DIN Next LT Pro" w:hAnsi="DIN Next LT Pro"/>
                <w:b/>
                <w:bCs/>
                <w:color w:val="000000" w:themeColor="text1"/>
                <w:sz w:val="22"/>
                <w:szCs w:val="22"/>
              </w:rPr>
              <w:t>ă a cererii de finanțare</w:t>
            </w:r>
          </w:p>
        </w:tc>
        <w:tc>
          <w:tcPr>
            <w:tcW w:w="3214" w:type="dxa"/>
            <w:tcBorders>
              <w:top w:val="single" w:sz="2" w:space="0" w:color="000000"/>
              <w:left w:val="single" w:sz="2" w:space="0" w:color="000000"/>
              <w:bottom w:val="single" w:sz="2" w:space="0" w:color="000000"/>
              <w:right w:val="single" w:sz="2" w:space="0" w:color="000000"/>
            </w:tcBorders>
            <w:hideMark/>
          </w:tcPr>
          <w:p w14:paraId="193A4EED" w14:textId="77777777" w:rsidR="002F7696" w:rsidRPr="00EA0C25" w:rsidRDefault="002F7696" w:rsidP="007342FC">
            <w:pPr>
              <w:pStyle w:val="TableContents"/>
              <w:contextualSpacing/>
              <w:jc w:val="center"/>
              <w:rPr>
                <w:rFonts w:ascii="DIN Next LT Pro" w:hAnsi="DIN Next LT Pro"/>
                <w:color w:val="000000" w:themeColor="text1"/>
                <w:sz w:val="22"/>
                <w:szCs w:val="22"/>
                <w:lang w:val="en-AU"/>
              </w:rPr>
            </w:pPr>
            <w:r w:rsidRPr="00EA0C25">
              <w:rPr>
                <w:rFonts w:ascii="DIN Next LT Pro" w:hAnsi="DIN Next LT Pro"/>
                <w:b/>
                <w:bCs/>
                <w:color w:val="000000" w:themeColor="text1"/>
                <w:sz w:val="22"/>
                <w:szCs w:val="22"/>
              </w:rPr>
              <w:t xml:space="preserve">Punctaj acordat între  </w:t>
            </w:r>
            <w:r w:rsidRPr="00EA0C25">
              <w:rPr>
                <w:rFonts w:ascii="DIN Next LT Pro" w:hAnsi="DIN Next LT Pro"/>
                <w:b/>
                <w:bCs/>
                <w:color w:val="000000" w:themeColor="text1"/>
                <w:sz w:val="22"/>
                <w:szCs w:val="22"/>
                <w:lang w:val="hu-HU"/>
              </w:rPr>
              <w:t>1-10</w:t>
            </w:r>
          </w:p>
        </w:tc>
      </w:tr>
      <w:tr w:rsidR="00EA0C25" w:rsidRPr="00EA0C25" w14:paraId="30F0E852" w14:textId="77777777" w:rsidTr="007342FC">
        <w:tc>
          <w:tcPr>
            <w:tcW w:w="6358" w:type="dxa"/>
            <w:tcBorders>
              <w:top w:val="nil"/>
              <w:left w:val="single" w:sz="2" w:space="0" w:color="000000"/>
              <w:bottom w:val="single" w:sz="2" w:space="0" w:color="000000"/>
              <w:right w:val="nil"/>
            </w:tcBorders>
            <w:hideMark/>
          </w:tcPr>
          <w:p w14:paraId="34ABDE58" w14:textId="77777777" w:rsidR="002F7696" w:rsidRPr="00EA0C25" w:rsidRDefault="002F7696" w:rsidP="007342FC">
            <w:pPr>
              <w:pStyle w:val="TableContents"/>
              <w:contextualSpacing/>
              <w:rPr>
                <w:rFonts w:ascii="DIN Next LT Pro" w:hAnsi="DIN Next LT Pro"/>
                <w:color w:val="000000" w:themeColor="text1"/>
                <w:sz w:val="22"/>
                <w:szCs w:val="22"/>
              </w:rPr>
            </w:pPr>
            <w:r w:rsidRPr="00EA0C25">
              <w:rPr>
                <w:rFonts w:ascii="DIN Next LT Pro" w:hAnsi="DIN Next LT Pro"/>
                <w:color w:val="000000" w:themeColor="text1"/>
                <w:sz w:val="22"/>
                <w:szCs w:val="22"/>
                <w:lang w:val="hu-HU"/>
              </w:rPr>
              <w:t>Descrierea programului este clar form</w:t>
            </w:r>
            <w:r w:rsidRPr="00EA0C25">
              <w:rPr>
                <w:rFonts w:ascii="DIN Next LT Pro" w:hAnsi="DIN Next LT Pro"/>
                <w:color w:val="000000" w:themeColor="text1"/>
                <w:sz w:val="22"/>
                <w:szCs w:val="22"/>
              </w:rPr>
              <w:t>ulată</w:t>
            </w:r>
          </w:p>
        </w:tc>
        <w:tc>
          <w:tcPr>
            <w:tcW w:w="3214" w:type="dxa"/>
            <w:tcBorders>
              <w:top w:val="nil"/>
              <w:left w:val="single" w:sz="2" w:space="0" w:color="000000"/>
              <w:bottom w:val="single" w:sz="2" w:space="0" w:color="000000"/>
              <w:right w:val="single" w:sz="2" w:space="0" w:color="000000"/>
            </w:tcBorders>
          </w:tcPr>
          <w:p w14:paraId="407DB0B5" w14:textId="77777777" w:rsidR="002F7696" w:rsidRPr="00EA0C25" w:rsidRDefault="002F7696" w:rsidP="007342FC">
            <w:pPr>
              <w:pStyle w:val="TableContents"/>
              <w:snapToGrid w:val="0"/>
              <w:contextualSpacing/>
              <w:rPr>
                <w:rFonts w:ascii="DIN Next LT Pro" w:hAnsi="DIN Next LT Pro"/>
                <w:color w:val="000000" w:themeColor="text1"/>
                <w:sz w:val="22"/>
                <w:szCs w:val="22"/>
              </w:rPr>
            </w:pPr>
          </w:p>
        </w:tc>
      </w:tr>
      <w:tr w:rsidR="00EA0C25" w:rsidRPr="00EA0C25" w14:paraId="7197381F" w14:textId="77777777" w:rsidTr="007342FC">
        <w:tc>
          <w:tcPr>
            <w:tcW w:w="6358" w:type="dxa"/>
            <w:tcBorders>
              <w:top w:val="nil"/>
              <w:left w:val="single" w:sz="2" w:space="0" w:color="000000"/>
              <w:bottom w:val="single" w:sz="2" w:space="0" w:color="000000"/>
              <w:right w:val="nil"/>
            </w:tcBorders>
            <w:hideMark/>
          </w:tcPr>
          <w:p w14:paraId="250D6017" w14:textId="77777777" w:rsidR="002F7696" w:rsidRPr="00EA0C25" w:rsidRDefault="002F7696" w:rsidP="007342FC">
            <w:pPr>
              <w:pStyle w:val="TableContents"/>
              <w:contextualSpacing/>
              <w:rPr>
                <w:rFonts w:ascii="DIN Next LT Pro" w:hAnsi="DIN Next LT Pro"/>
                <w:color w:val="000000" w:themeColor="text1"/>
                <w:sz w:val="22"/>
                <w:szCs w:val="22"/>
              </w:rPr>
            </w:pPr>
            <w:r w:rsidRPr="00EA0C25">
              <w:rPr>
                <w:rFonts w:ascii="DIN Next LT Pro" w:hAnsi="DIN Next LT Pro"/>
                <w:color w:val="000000" w:themeColor="text1"/>
                <w:sz w:val="22"/>
                <w:szCs w:val="22"/>
              </w:rPr>
              <w:t>Programul vizează domeniile din anunțul de participare</w:t>
            </w:r>
          </w:p>
        </w:tc>
        <w:tc>
          <w:tcPr>
            <w:tcW w:w="3214" w:type="dxa"/>
            <w:tcBorders>
              <w:top w:val="nil"/>
              <w:left w:val="single" w:sz="2" w:space="0" w:color="000000"/>
              <w:bottom w:val="single" w:sz="2" w:space="0" w:color="000000"/>
              <w:right w:val="single" w:sz="2" w:space="0" w:color="000000"/>
            </w:tcBorders>
          </w:tcPr>
          <w:p w14:paraId="0D2C2514" w14:textId="77777777" w:rsidR="002F7696" w:rsidRPr="00EA0C25" w:rsidRDefault="002F7696" w:rsidP="007342FC">
            <w:pPr>
              <w:pStyle w:val="TableContents"/>
              <w:snapToGrid w:val="0"/>
              <w:contextualSpacing/>
              <w:rPr>
                <w:rFonts w:ascii="DIN Next LT Pro" w:hAnsi="DIN Next LT Pro"/>
                <w:color w:val="000000" w:themeColor="text1"/>
                <w:sz w:val="22"/>
                <w:szCs w:val="22"/>
              </w:rPr>
            </w:pPr>
          </w:p>
        </w:tc>
      </w:tr>
      <w:tr w:rsidR="00EA0C25" w:rsidRPr="00EA0C25" w14:paraId="00C25536" w14:textId="77777777" w:rsidTr="007342FC">
        <w:tc>
          <w:tcPr>
            <w:tcW w:w="6358" w:type="dxa"/>
            <w:tcBorders>
              <w:top w:val="nil"/>
              <w:left w:val="single" w:sz="2" w:space="0" w:color="000000"/>
              <w:bottom w:val="single" w:sz="2" w:space="0" w:color="000000"/>
              <w:right w:val="nil"/>
            </w:tcBorders>
            <w:hideMark/>
          </w:tcPr>
          <w:p w14:paraId="5150DE85" w14:textId="77777777" w:rsidR="002F7696" w:rsidRPr="00EA0C25" w:rsidRDefault="002F7696" w:rsidP="007342FC">
            <w:pPr>
              <w:pStyle w:val="TableContents"/>
              <w:contextualSpacing/>
              <w:rPr>
                <w:rFonts w:ascii="DIN Next LT Pro" w:hAnsi="DIN Next LT Pro"/>
                <w:color w:val="000000" w:themeColor="text1"/>
                <w:sz w:val="22"/>
                <w:szCs w:val="22"/>
              </w:rPr>
            </w:pPr>
            <w:r w:rsidRPr="00EA0C25">
              <w:rPr>
                <w:rFonts w:ascii="DIN Next LT Pro" w:hAnsi="DIN Next LT Pro"/>
                <w:color w:val="000000" w:themeColor="text1"/>
                <w:sz w:val="22"/>
                <w:szCs w:val="22"/>
              </w:rPr>
              <w:t>Indicatorii pentru măsurarea rezultatelor sunt relevante (dovedite cu oferte de preț anexate)</w:t>
            </w:r>
          </w:p>
        </w:tc>
        <w:tc>
          <w:tcPr>
            <w:tcW w:w="3214" w:type="dxa"/>
            <w:tcBorders>
              <w:top w:val="nil"/>
              <w:left w:val="single" w:sz="2" w:space="0" w:color="000000"/>
              <w:bottom w:val="single" w:sz="2" w:space="0" w:color="000000"/>
              <w:right w:val="single" w:sz="2" w:space="0" w:color="000000"/>
            </w:tcBorders>
          </w:tcPr>
          <w:p w14:paraId="26756577" w14:textId="77777777" w:rsidR="002F7696" w:rsidRPr="00EA0C25" w:rsidRDefault="002F7696" w:rsidP="007342FC">
            <w:pPr>
              <w:pStyle w:val="TableContents"/>
              <w:snapToGrid w:val="0"/>
              <w:contextualSpacing/>
              <w:rPr>
                <w:rFonts w:ascii="DIN Next LT Pro" w:hAnsi="DIN Next LT Pro"/>
                <w:color w:val="000000" w:themeColor="text1"/>
                <w:sz w:val="22"/>
                <w:szCs w:val="22"/>
              </w:rPr>
            </w:pPr>
          </w:p>
        </w:tc>
      </w:tr>
      <w:tr w:rsidR="00EA0C25" w:rsidRPr="00EA0C25" w14:paraId="5DA3CA03" w14:textId="77777777" w:rsidTr="007342FC">
        <w:tc>
          <w:tcPr>
            <w:tcW w:w="6358" w:type="dxa"/>
            <w:tcBorders>
              <w:top w:val="nil"/>
              <w:left w:val="single" w:sz="2" w:space="0" w:color="000000"/>
              <w:bottom w:val="single" w:sz="2" w:space="0" w:color="000000"/>
              <w:right w:val="nil"/>
            </w:tcBorders>
            <w:hideMark/>
          </w:tcPr>
          <w:p w14:paraId="3A4B96F7" w14:textId="77777777" w:rsidR="002F7696" w:rsidRPr="00EA0C25" w:rsidRDefault="002F7696" w:rsidP="007342FC">
            <w:pPr>
              <w:pStyle w:val="TableContents"/>
              <w:contextualSpacing/>
              <w:rPr>
                <w:rFonts w:ascii="DIN Next LT Pro" w:hAnsi="DIN Next LT Pro"/>
                <w:color w:val="000000" w:themeColor="text1"/>
                <w:sz w:val="22"/>
                <w:szCs w:val="22"/>
              </w:rPr>
            </w:pPr>
            <w:r w:rsidRPr="00EA0C25">
              <w:rPr>
                <w:rFonts w:ascii="DIN Next LT Pro" w:hAnsi="DIN Next LT Pro"/>
                <w:color w:val="000000" w:themeColor="text1"/>
                <w:sz w:val="22"/>
                <w:szCs w:val="22"/>
              </w:rPr>
              <w:t>Bugetul completat este corect, complet și realist</w:t>
            </w:r>
          </w:p>
        </w:tc>
        <w:tc>
          <w:tcPr>
            <w:tcW w:w="3214" w:type="dxa"/>
            <w:tcBorders>
              <w:top w:val="nil"/>
              <w:left w:val="single" w:sz="2" w:space="0" w:color="000000"/>
              <w:bottom w:val="single" w:sz="2" w:space="0" w:color="000000"/>
              <w:right w:val="single" w:sz="2" w:space="0" w:color="000000"/>
            </w:tcBorders>
          </w:tcPr>
          <w:p w14:paraId="00EB4ADE" w14:textId="77777777" w:rsidR="002F7696" w:rsidRPr="00EA0C25" w:rsidRDefault="002F7696" w:rsidP="007342FC">
            <w:pPr>
              <w:pStyle w:val="TableContents"/>
              <w:snapToGrid w:val="0"/>
              <w:contextualSpacing/>
              <w:rPr>
                <w:rFonts w:ascii="DIN Next LT Pro" w:hAnsi="DIN Next LT Pro"/>
                <w:color w:val="000000" w:themeColor="text1"/>
                <w:sz w:val="22"/>
                <w:szCs w:val="22"/>
              </w:rPr>
            </w:pPr>
          </w:p>
        </w:tc>
      </w:tr>
      <w:tr w:rsidR="00EA0C25" w:rsidRPr="00EA0C25" w14:paraId="31C9EEEB" w14:textId="77777777" w:rsidTr="007342FC">
        <w:tc>
          <w:tcPr>
            <w:tcW w:w="6358" w:type="dxa"/>
            <w:tcBorders>
              <w:top w:val="nil"/>
              <w:left w:val="single" w:sz="2" w:space="0" w:color="000000"/>
              <w:bottom w:val="single" w:sz="2" w:space="0" w:color="000000"/>
              <w:right w:val="nil"/>
            </w:tcBorders>
            <w:hideMark/>
          </w:tcPr>
          <w:p w14:paraId="6F89CB1A" w14:textId="77777777" w:rsidR="002F7696" w:rsidRPr="00EA0C25" w:rsidRDefault="002F7696" w:rsidP="007342FC">
            <w:pPr>
              <w:pStyle w:val="TableContents"/>
              <w:contextualSpacing/>
              <w:rPr>
                <w:rFonts w:ascii="DIN Next LT Pro" w:hAnsi="DIN Next LT Pro"/>
                <w:color w:val="000000" w:themeColor="text1"/>
                <w:sz w:val="22"/>
                <w:szCs w:val="22"/>
              </w:rPr>
            </w:pPr>
            <w:r w:rsidRPr="00EA0C25">
              <w:rPr>
                <w:rFonts w:ascii="DIN Next LT Pro" w:hAnsi="DIN Next LT Pro"/>
                <w:color w:val="000000" w:themeColor="text1"/>
                <w:sz w:val="22"/>
                <w:szCs w:val="22"/>
              </w:rPr>
              <w:t>Costurile sunt identificate pe categorii de cheltuieli</w:t>
            </w:r>
          </w:p>
        </w:tc>
        <w:tc>
          <w:tcPr>
            <w:tcW w:w="3214" w:type="dxa"/>
            <w:tcBorders>
              <w:top w:val="nil"/>
              <w:left w:val="single" w:sz="2" w:space="0" w:color="000000"/>
              <w:bottom w:val="single" w:sz="2" w:space="0" w:color="000000"/>
              <w:right w:val="single" w:sz="2" w:space="0" w:color="000000"/>
            </w:tcBorders>
          </w:tcPr>
          <w:p w14:paraId="14418CF9" w14:textId="77777777" w:rsidR="002F7696" w:rsidRPr="00EA0C25" w:rsidRDefault="002F7696" w:rsidP="007342FC">
            <w:pPr>
              <w:pStyle w:val="TableContents"/>
              <w:snapToGrid w:val="0"/>
              <w:contextualSpacing/>
              <w:rPr>
                <w:rFonts w:ascii="DIN Next LT Pro" w:hAnsi="DIN Next LT Pro"/>
                <w:color w:val="000000" w:themeColor="text1"/>
                <w:sz w:val="22"/>
                <w:szCs w:val="22"/>
              </w:rPr>
            </w:pPr>
          </w:p>
        </w:tc>
      </w:tr>
      <w:tr w:rsidR="002F7696" w:rsidRPr="00EA0C25" w14:paraId="5FACFBD2" w14:textId="77777777" w:rsidTr="007342FC">
        <w:tc>
          <w:tcPr>
            <w:tcW w:w="6358" w:type="dxa"/>
            <w:tcBorders>
              <w:top w:val="nil"/>
              <w:left w:val="single" w:sz="2" w:space="0" w:color="000000"/>
              <w:bottom w:val="single" w:sz="2" w:space="0" w:color="000000"/>
              <w:right w:val="nil"/>
            </w:tcBorders>
            <w:hideMark/>
          </w:tcPr>
          <w:p w14:paraId="2ADF8BA2" w14:textId="77777777" w:rsidR="002F7696" w:rsidRPr="00EA0C25" w:rsidRDefault="002F7696" w:rsidP="007342FC">
            <w:pPr>
              <w:pStyle w:val="TableContents"/>
              <w:contextualSpacing/>
              <w:jc w:val="center"/>
              <w:rPr>
                <w:rFonts w:ascii="DIN Next LT Pro" w:hAnsi="DIN Next LT Pro"/>
                <w:color w:val="000000" w:themeColor="text1"/>
                <w:sz w:val="22"/>
                <w:szCs w:val="22"/>
              </w:rPr>
            </w:pPr>
            <w:r w:rsidRPr="00EA0C25">
              <w:rPr>
                <w:rFonts w:ascii="DIN Next LT Pro" w:hAnsi="DIN Next LT Pro"/>
                <w:color w:val="000000" w:themeColor="text1"/>
                <w:sz w:val="22"/>
                <w:szCs w:val="22"/>
              </w:rPr>
              <w:t xml:space="preserve">                   </w:t>
            </w:r>
            <w:r w:rsidRPr="00EA0C25">
              <w:rPr>
                <w:rFonts w:ascii="DIN Next LT Pro" w:hAnsi="DIN Next LT Pro"/>
                <w:b/>
                <w:bCs/>
                <w:color w:val="000000" w:themeColor="text1"/>
                <w:sz w:val="22"/>
                <w:szCs w:val="22"/>
              </w:rPr>
              <w:t xml:space="preserve"> TOTAL</w:t>
            </w:r>
          </w:p>
        </w:tc>
        <w:tc>
          <w:tcPr>
            <w:tcW w:w="3214" w:type="dxa"/>
            <w:tcBorders>
              <w:top w:val="nil"/>
              <w:left w:val="single" w:sz="2" w:space="0" w:color="000000"/>
              <w:bottom w:val="single" w:sz="2" w:space="0" w:color="000000"/>
              <w:right w:val="single" w:sz="2" w:space="0" w:color="000000"/>
            </w:tcBorders>
          </w:tcPr>
          <w:p w14:paraId="5CFC8CA8" w14:textId="77777777" w:rsidR="002F7696" w:rsidRPr="00EA0C25" w:rsidRDefault="002F7696" w:rsidP="007342FC">
            <w:pPr>
              <w:pStyle w:val="TableContents"/>
              <w:snapToGrid w:val="0"/>
              <w:contextualSpacing/>
              <w:rPr>
                <w:rFonts w:ascii="DIN Next LT Pro" w:hAnsi="DIN Next LT Pro"/>
                <w:color w:val="000000" w:themeColor="text1"/>
                <w:sz w:val="22"/>
                <w:szCs w:val="22"/>
              </w:rPr>
            </w:pPr>
          </w:p>
        </w:tc>
      </w:tr>
    </w:tbl>
    <w:p w14:paraId="0A458B9F" w14:textId="77777777" w:rsidR="002F7696" w:rsidRPr="00EA0C25" w:rsidRDefault="002F7696" w:rsidP="002F7696">
      <w:pPr>
        <w:pStyle w:val="BodyText"/>
        <w:contextualSpacing/>
        <w:rPr>
          <w:rFonts w:ascii="DIN Next LT Pro" w:hAnsi="DIN Next LT Pro"/>
          <w:color w:val="000000" w:themeColor="text1"/>
          <w:sz w:val="22"/>
          <w:szCs w:val="22"/>
          <w:lang w:val="en-AU"/>
        </w:rPr>
      </w:pPr>
    </w:p>
    <w:tbl>
      <w:tblPr>
        <w:tblW w:w="9616" w:type="dxa"/>
        <w:tblInd w:w="6" w:type="dxa"/>
        <w:tblLayout w:type="fixed"/>
        <w:tblCellMar>
          <w:left w:w="54" w:type="dxa"/>
          <w:right w:w="54" w:type="dxa"/>
        </w:tblCellMar>
        <w:tblLook w:val="04A0" w:firstRow="1" w:lastRow="0" w:firstColumn="1" w:lastColumn="0" w:noHBand="0" w:noVBand="1"/>
      </w:tblPr>
      <w:tblGrid>
        <w:gridCol w:w="7906"/>
        <w:gridCol w:w="1710"/>
      </w:tblGrid>
      <w:tr w:rsidR="00EA0C25" w:rsidRPr="00EA0C25" w14:paraId="669CC94D" w14:textId="77777777" w:rsidTr="007342FC">
        <w:trPr>
          <w:trHeight w:val="408"/>
        </w:trPr>
        <w:tc>
          <w:tcPr>
            <w:tcW w:w="7906" w:type="dxa"/>
            <w:tcBorders>
              <w:top w:val="single" w:sz="6" w:space="0" w:color="000000"/>
              <w:left w:val="single" w:sz="6" w:space="0" w:color="000000"/>
              <w:bottom w:val="single" w:sz="6" w:space="0" w:color="000000"/>
              <w:right w:val="nil"/>
            </w:tcBorders>
          </w:tcPr>
          <w:p w14:paraId="290A0E8E" w14:textId="77777777" w:rsidR="002F7696" w:rsidRPr="00EA0C25" w:rsidRDefault="002F7696" w:rsidP="007342FC">
            <w:pPr>
              <w:widowControl w:val="0"/>
              <w:snapToGrid w:val="0"/>
              <w:ind w:firstLine="720"/>
              <w:contextualSpacing/>
              <w:jc w:val="center"/>
              <w:rPr>
                <w:rFonts w:ascii="DIN Next LT Pro" w:hAnsi="DIN Next LT Pro"/>
                <w:b/>
                <w:bCs/>
                <w:color w:val="000000" w:themeColor="text1"/>
              </w:rPr>
            </w:pPr>
          </w:p>
          <w:p w14:paraId="01DD357B" w14:textId="77777777" w:rsidR="002F7696" w:rsidRPr="00EA0C25" w:rsidRDefault="002F7696" w:rsidP="007342FC">
            <w:pPr>
              <w:widowControl w:val="0"/>
              <w:ind w:firstLine="720"/>
              <w:contextualSpacing/>
              <w:jc w:val="center"/>
              <w:rPr>
                <w:rFonts w:ascii="DIN Next LT Pro" w:hAnsi="DIN Next LT Pro"/>
                <w:b/>
                <w:bCs/>
                <w:color w:val="000000" w:themeColor="text1"/>
              </w:rPr>
            </w:pPr>
            <w:r w:rsidRPr="00EA0C25">
              <w:rPr>
                <w:rFonts w:ascii="DIN Next LT Pro" w:hAnsi="DIN Next LT Pro"/>
                <w:b/>
                <w:bCs/>
                <w:color w:val="000000" w:themeColor="text1"/>
              </w:rPr>
              <w:t xml:space="preserve">Criterii de evaluare </w:t>
            </w:r>
          </w:p>
        </w:tc>
        <w:tc>
          <w:tcPr>
            <w:tcW w:w="1710" w:type="dxa"/>
            <w:tcBorders>
              <w:top w:val="single" w:sz="6" w:space="0" w:color="000000"/>
              <w:left w:val="single" w:sz="4" w:space="0" w:color="000000"/>
              <w:bottom w:val="single" w:sz="6" w:space="0" w:color="000000"/>
              <w:right w:val="single" w:sz="4" w:space="0" w:color="000000"/>
            </w:tcBorders>
            <w:vAlign w:val="center"/>
            <w:hideMark/>
          </w:tcPr>
          <w:p w14:paraId="1E5965A2" w14:textId="77777777" w:rsidR="002F7696" w:rsidRPr="00EA0C25" w:rsidRDefault="002F7696" w:rsidP="007342FC">
            <w:pPr>
              <w:pStyle w:val="TableContents"/>
              <w:widowControl w:val="0"/>
              <w:contextualSpacing/>
              <w:jc w:val="center"/>
              <w:rPr>
                <w:rFonts w:ascii="DIN Next LT Pro" w:hAnsi="DIN Next LT Pro"/>
                <w:color w:val="000000" w:themeColor="text1"/>
                <w:sz w:val="22"/>
                <w:szCs w:val="22"/>
                <w:lang w:val="en-AU"/>
              </w:rPr>
            </w:pPr>
            <w:r w:rsidRPr="00EA0C25">
              <w:rPr>
                <w:rFonts w:ascii="DIN Next LT Pro" w:hAnsi="DIN Next LT Pro"/>
                <w:b/>
                <w:bCs/>
                <w:color w:val="000000" w:themeColor="text1"/>
                <w:sz w:val="22"/>
                <w:szCs w:val="22"/>
              </w:rPr>
              <w:t xml:space="preserve">Punctaj acordat între  </w:t>
            </w:r>
            <w:r w:rsidRPr="00EA0C25">
              <w:rPr>
                <w:rFonts w:ascii="DIN Next LT Pro" w:hAnsi="DIN Next LT Pro"/>
                <w:b/>
                <w:bCs/>
                <w:color w:val="000000" w:themeColor="text1"/>
                <w:sz w:val="22"/>
                <w:szCs w:val="22"/>
                <w:lang w:val="hu-HU"/>
              </w:rPr>
              <w:t>1-10</w:t>
            </w:r>
          </w:p>
        </w:tc>
      </w:tr>
      <w:tr w:rsidR="00EA0C25" w:rsidRPr="00EA0C25" w14:paraId="490081C8" w14:textId="77777777" w:rsidTr="007342FC">
        <w:tc>
          <w:tcPr>
            <w:tcW w:w="7906" w:type="dxa"/>
            <w:tcBorders>
              <w:top w:val="single" w:sz="6" w:space="0" w:color="000000"/>
              <w:left w:val="single" w:sz="6" w:space="0" w:color="000000"/>
              <w:bottom w:val="single" w:sz="6" w:space="0" w:color="000000"/>
              <w:right w:val="nil"/>
            </w:tcBorders>
            <w:hideMark/>
          </w:tcPr>
          <w:p w14:paraId="27E36A76" w14:textId="77777777" w:rsidR="002F7696" w:rsidRPr="00EA0C25" w:rsidRDefault="002F7696" w:rsidP="007342FC">
            <w:pPr>
              <w:widowControl w:val="0"/>
              <w:contextualSpacing/>
              <w:jc w:val="both"/>
              <w:rPr>
                <w:rFonts w:ascii="DIN Next LT Pro" w:hAnsi="DIN Next LT Pro"/>
                <w:color w:val="000000" w:themeColor="text1"/>
              </w:rPr>
            </w:pPr>
            <w:r w:rsidRPr="00EA0C25">
              <w:rPr>
                <w:rFonts w:ascii="DIN Next LT Pro" w:hAnsi="DIN Next LT Pro"/>
                <w:color w:val="000000" w:themeColor="text1"/>
              </w:rPr>
              <w:t>Concordanța cu strategia de dezvoltare, respectiv culturala</w:t>
            </w:r>
          </w:p>
        </w:tc>
        <w:tc>
          <w:tcPr>
            <w:tcW w:w="1710" w:type="dxa"/>
            <w:tcBorders>
              <w:top w:val="single" w:sz="6" w:space="0" w:color="000000"/>
              <w:left w:val="single" w:sz="4" w:space="0" w:color="000000"/>
              <w:bottom w:val="single" w:sz="6" w:space="0" w:color="000000"/>
              <w:right w:val="single" w:sz="4" w:space="0" w:color="000000"/>
            </w:tcBorders>
          </w:tcPr>
          <w:p w14:paraId="5A780263" w14:textId="77777777" w:rsidR="002F7696" w:rsidRPr="00EA0C25" w:rsidRDefault="002F7696" w:rsidP="007342FC">
            <w:pPr>
              <w:widowControl w:val="0"/>
              <w:snapToGrid w:val="0"/>
              <w:contextualSpacing/>
              <w:jc w:val="center"/>
              <w:rPr>
                <w:rFonts w:ascii="DIN Next LT Pro" w:hAnsi="DIN Next LT Pro"/>
                <w:b/>
                <w:bCs/>
                <w:color w:val="000000" w:themeColor="text1"/>
              </w:rPr>
            </w:pPr>
          </w:p>
        </w:tc>
      </w:tr>
      <w:tr w:rsidR="00EA0C25" w:rsidRPr="00EA0C25" w14:paraId="12067D83" w14:textId="77777777" w:rsidTr="007342FC">
        <w:trPr>
          <w:trHeight w:val="328"/>
        </w:trPr>
        <w:tc>
          <w:tcPr>
            <w:tcW w:w="7906" w:type="dxa"/>
            <w:tcBorders>
              <w:top w:val="single" w:sz="6" w:space="0" w:color="000000"/>
              <w:left w:val="single" w:sz="6" w:space="0" w:color="000000"/>
              <w:bottom w:val="single" w:sz="6" w:space="0" w:color="000000"/>
              <w:right w:val="nil"/>
            </w:tcBorders>
          </w:tcPr>
          <w:p w14:paraId="337FAC20" w14:textId="77777777" w:rsidR="002F7696" w:rsidRPr="00EA0C25" w:rsidRDefault="002F7696" w:rsidP="007342FC">
            <w:pPr>
              <w:widowControl w:val="0"/>
              <w:contextualSpacing/>
              <w:jc w:val="both"/>
              <w:rPr>
                <w:rFonts w:ascii="DIN Next LT Pro" w:hAnsi="DIN Next LT Pro"/>
                <w:color w:val="000000" w:themeColor="text1"/>
              </w:rPr>
            </w:pPr>
            <w:r w:rsidRPr="00EA0C25">
              <w:rPr>
                <w:rFonts w:ascii="DIN Next LT Pro" w:hAnsi="DIN Next LT Pro"/>
                <w:color w:val="000000" w:themeColor="text1"/>
              </w:rPr>
              <w:t>Promovarea patrimoniului material și imaterial</w:t>
            </w:r>
          </w:p>
        </w:tc>
        <w:tc>
          <w:tcPr>
            <w:tcW w:w="1710" w:type="dxa"/>
            <w:tcBorders>
              <w:top w:val="single" w:sz="6" w:space="0" w:color="000000"/>
              <w:left w:val="single" w:sz="4" w:space="0" w:color="000000"/>
              <w:bottom w:val="single" w:sz="6" w:space="0" w:color="000000"/>
              <w:right w:val="single" w:sz="4" w:space="0" w:color="000000"/>
            </w:tcBorders>
            <w:vAlign w:val="center"/>
          </w:tcPr>
          <w:p w14:paraId="43FB12A1" w14:textId="77777777" w:rsidR="002F7696" w:rsidRPr="00EA0C25" w:rsidRDefault="002F7696" w:rsidP="007342FC">
            <w:pPr>
              <w:widowControl w:val="0"/>
              <w:snapToGrid w:val="0"/>
              <w:contextualSpacing/>
              <w:jc w:val="center"/>
              <w:rPr>
                <w:rFonts w:ascii="DIN Next LT Pro" w:hAnsi="DIN Next LT Pro"/>
                <w:color w:val="000000" w:themeColor="text1"/>
              </w:rPr>
            </w:pPr>
          </w:p>
        </w:tc>
      </w:tr>
      <w:tr w:rsidR="00EA0C25" w:rsidRPr="00EA0C25" w14:paraId="1CCAEECB" w14:textId="77777777" w:rsidTr="007342FC">
        <w:tc>
          <w:tcPr>
            <w:tcW w:w="7906" w:type="dxa"/>
            <w:tcBorders>
              <w:top w:val="single" w:sz="6" w:space="0" w:color="000000"/>
              <w:left w:val="single" w:sz="6" w:space="0" w:color="000000"/>
              <w:bottom w:val="single" w:sz="6" w:space="0" w:color="000000"/>
              <w:right w:val="nil"/>
            </w:tcBorders>
          </w:tcPr>
          <w:p w14:paraId="1E09C7F5" w14:textId="77777777" w:rsidR="002F7696" w:rsidRPr="00EA0C25" w:rsidRDefault="002F7696" w:rsidP="007342FC">
            <w:pPr>
              <w:widowControl w:val="0"/>
              <w:contextualSpacing/>
              <w:jc w:val="both"/>
              <w:rPr>
                <w:rFonts w:ascii="DIN Next LT Pro" w:hAnsi="DIN Next LT Pro"/>
                <w:color w:val="000000" w:themeColor="text1"/>
              </w:rPr>
            </w:pPr>
            <w:r w:rsidRPr="00EA0C25">
              <w:rPr>
                <w:rFonts w:ascii="DIN Next LT Pro" w:hAnsi="DIN Next LT Pro"/>
                <w:color w:val="000000" w:themeColor="text1"/>
              </w:rPr>
              <w:t>Contribuția la interesul cultural al comunității: facilitarea/dezvoltarea accesului la cultură, atragerea publicului, contribuția la dezvoltarea sectorului turistic-cultural</w:t>
            </w:r>
          </w:p>
        </w:tc>
        <w:tc>
          <w:tcPr>
            <w:tcW w:w="1710" w:type="dxa"/>
            <w:tcBorders>
              <w:top w:val="single" w:sz="6" w:space="0" w:color="000000"/>
              <w:left w:val="single" w:sz="4" w:space="0" w:color="000000"/>
              <w:bottom w:val="single" w:sz="6" w:space="0" w:color="000000"/>
              <w:right w:val="single" w:sz="4" w:space="0" w:color="000000"/>
            </w:tcBorders>
            <w:vAlign w:val="center"/>
          </w:tcPr>
          <w:p w14:paraId="7848D2C6" w14:textId="77777777" w:rsidR="002F7696" w:rsidRPr="00EA0C25" w:rsidRDefault="002F7696" w:rsidP="007342FC">
            <w:pPr>
              <w:widowControl w:val="0"/>
              <w:snapToGrid w:val="0"/>
              <w:contextualSpacing/>
              <w:jc w:val="center"/>
              <w:rPr>
                <w:rFonts w:ascii="DIN Next LT Pro" w:hAnsi="DIN Next LT Pro"/>
                <w:color w:val="000000" w:themeColor="text1"/>
              </w:rPr>
            </w:pPr>
          </w:p>
        </w:tc>
      </w:tr>
      <w:tr w:rsidR="00EA0C25" w:rsidRPr="00EA0C25" w14:paraId="17845049" w14:textId="77777777" w:rsidTr="007342FC">
        <w:trPr>
          <w:trHeight w:val="254"/>
        </w:trPr>
        <w:tc>
          <w:tcPr>
            <w:tcW w:w="7906" w:type="dxa"/>
            <w:tcBorders>
              <w:top w:val="single" w:sz="6" w:space="0" w:color="000000"/>
              <w:left w:val="single" w:sz="6" w:space="0" w:color="000000"/>
              <w:bottom w:val="single" w:sz="6" w:space="0" w:color="000000"/>
              <w:right w:val="nil"/>
            </w:tcBorders>
            <w:hideMark/>
          </w:tcPr>
          <w:p w14:paraId="303794C6" w14:textId="77777777" w:rsidR="002F7696" w:rsidRPr="00EA0C25" w:rsidRDefault="002F7696" w:rsidP="007342FC">
            <w:pPr>
              <w:widowControl w:val="0"/>
              <w:contextualSpacing/>
              <w:jc w:val="both"/>
              <w:rPr>
                <w:rFonts w:ascii="DIN Next LT Pro" w:hAnsi="DIN Next LT Pro"/>
                <w:color w:val="000000" w:themeColor="text1"/>
              </w:rPr>
            </w:pPr>
            <w:r w:rsidRPr="00EA0C25">
              <w:rPr>
                <w:rFonts w:ascii="DIN Next LT Pro" w:hAnsi="DIN Next LT Pro"/>
                <w:color w:val="000000" w:themeColor="text1"/>
              </w:rPr>
              <w:t>Relevanta pentru nevoile specifice ale municipiului</w:t>
            </w:r>
          </w:p>
        </w:tc>
        <w:tc>
          <w:tcPr>
            <w:tcW w:w="1710" w:type="dxa"/>
            <w:tcBorders>
              <w:top w:val="single" w:sz="6" w:space="0" w:color="000000"/>
              <w:left w:val="single" w:sz="4" w:space="0" w:color="000000"/>
              <w:bottom w:val="single" w:sz="6" w:space="0" w:color="000000"/>
              <w:right w:val="single" w:sz="4" w:space="0" w:color="000000"/>
            </w:tcBorders>
            <w:vAlign w:val="center"/>
          </w:tcPr>
          <w:p w14:paraId="5F533E27" w14:textId="77777777" w:rsidR="002F7696" w:rsidRPr="00EA0C25" w:rsidRDefault="002F7696" w:rsidP="007342FC">
            <w:pPr>
              <w:widowControl w:val="0"/>
              <w:snapToGrid w:val="0"/>
              <w:contextualSpacing/>
              <w:jc w:val="center"/>
              <w:rPr>
                <w:rFonts w:ascii="DIN Next LT Pro" w:hAnsi="DIN Next LT Pro"/>
                <w:color w:val="000000" w:themeColor="text1"/>
              </w:rPr>
            </w:pPr>
          </w:p>
        </w:tc>
      </w:tr>
      <w:tr w:rsidR="00EA0C25" w:rsidRPr="00EA0C25" w14:paraId="05BF6557" w14:textId="77777777" w:rsidTr="007342FC">
        <w:tc>
          <w:tcPr>
            <w:tcW w:w="7906" w:type="dxa"/>
            <w:tcBorders>
              <w:top w:val="single" w:sz="6" w:space="0" w:color="000000"/>
              <w:left w:val="single" w:sz="6" w:space="0" w:color="000000"/>
              <w:bottom w:val="single" w:sz="6" w:space="0" w:color="000000"/>
              <w:right w:val="nil"/>
            </w:tcBorders>
          </w:tcPr>
          <w:p w14:paraId="4A08CC7F" w14:textId="77777777" w:rsidR="002F7696" w:rsidRPr="00EA0C25" w:rsidRDefault="002F7696" w:rsidP="007342FC">
            <w:pPr>
              <w:widowControl w:val="0"/>
              <w:contextualSpacing/>
              <w:jc w:val="both"/>
              <w:rPr>
                <w:rFonts w:ascii="DIN Next LT Pro" w:hAnsi="DIN Next LT Pro"/>
                <w:color w:val="000000" w:themeColor="text1"/>
              </w:rPr>
            </w:pPr>
            <w:r w:rsidRPr="00EA0C25">
              <w:rPr>
                <w:rFonts w:ascii="DIN Next LT Pro" w:hAnsi="DIN Next LT Pro"/>
                <w:bCs/>
                <w:color w:val="000000" w:themeColor="text1"/>
              </w:rPr>
              <w:t>Cât de pozitive sunt experienţele autorităţii finanţatoare din execuţia şi decontarea proiectelor precedente ale solicitantului</w:t>
            </w:r>
          </w:p>
        </w:tc>
        <w:tc>
          <w:tcPr>
            <w:tcW w:w="1710" w:type="dxa"/>
            <w:tcBorders>
              <w:top w:val="single" w:sz="6" w:space="0" w:color="000000"/>
              <w:left w:val="single" w:sz="4" w:space="0" w:color="000000"/>
              <w:bottom w:val="single" w:sz="6" w:space="0" w:color="000000"/>
              <w:right w:val="single" w:sz="4" w:space="0" w:color="000000"/>
            </w:tcBorders>
            <w:vAlign w:val="center"/>
          </w:tcPr>
          <w:p w14:paraId="4E9A0505" w14:textId="77777777" w:rsidR="002F7696" w:rsidRPr="00EA0C25" w:rsidRDefault="002F7696" w:rsidP="007342FC">
            <w:pPr>
              <w:widowControl w:val="0"/>
              <w:snapToGrid w:val="0"/>
              <w:contextualSpacing/>
              <w:rPr>
                <w:rFonts w:ascii="DIN Next LT Pro" w:hAnsi="DIN Next LT Pro"/>
                <w:color w:val="000000" w:themeColor="text1"/>
              </w:rPr>
            </w:pPr>
          </w:p>
        </w:tc>
      </w:tr>
      <w:tr w:rsidR="002F7696" w:rsidRPr="00EA0C25" w14:paraId="5C8B527C" w14:textId="77777777" w:rsidTr="007342FC">
        <w:tc>
          <w:tcPr>
            <w:tcW w:w="7906" w:type="dxa"/>
            <w:tcBorders>
              <w:top w:val="nil"/>
              <w:left w:val="single" w:sz="6" w:space="0" w:color="000000"/>
              <w:bottom w:val="single" w:sz="6" w:space="0" w:color="000000"/>
              <w:right w:val="nil"/>
            </w:tcBorders>
            <w:hideMark/>
          </w:tcPr>
          <w:p w14:paraId="1A9F69E3" w14:textId="77777777" w:rsidR="002F7696" w:rsidRPr="00EA0C25" w:rsidRDefault="002F7696" w:rsidP="007342FC">
            <w:pPr>
              <w:pStyle w:val="TableContents"/>
              <w:widowControl w:val="0"/>
              <w:contextualSpacing/>
              <w:jc w:val="center"/>
              <w:rPr>
                <w:rFonts w:ascii="DIN Next LT Pro" w:hAnsi="DIN Next LT Pro"/>
                <w:color w:val="000000" w:themeColor="text1"/>
                <w:sz w:val="22"/>
                <w:szCs w:val="22"/>
                <w:lang w:val="hu-HU"/>
              </w:rPr>
            </w:pPr>
            <w:r w:rsidRPr="00EA0C25">
              <w:rPr>
                <w:rFonts w:ascii="DIN Next LT Pro" w:hAnsi="DIN Next LT Pro"/>
                <w:b/>
                <w:bCs/>
                <w:color w:val="000000" w:themeColor="text1"/>
                <w:sz w:val="22"/>
                <w:szCs w:val="22"/>
              </w:rPr>
              <w:t>T O T A L</w:t>
            </w:r>
          </w:p>
        </w:tc>
        <w:tc>
          <w:tcPr>
            <w:tcW w:w="1710" w:type="dxa"/>
            <w:tcBorders>
              <w:top w:val="nil"/>
              <w:left w:val="single" w:sz="4" w:space="0" w:color="000000"/>
              <w:bottom w:val="single" w:sz="6" w:space="0" w:color="000000"/>
              <w:right w:val="single" w:sz="4" w:space="0" w:color="000000"/>
            </w:tcBorders>
            <w:vAlign w:val="center"/>
          </w:tcPr>
          <w:p w14:paraId="70ADF48A" w14:textId="77777777" w:rsidR="002F7696" w:rsidRPr="00EA0C25" w:rsidRDefault="002F7696" w:rsidP="007342FC">
            <w:pPr>
              <w:widowControl w:val="0"/>
              <w:snapToGrid w:val="0"/>
              <w:contextualSpacing/>
              <w:jc w:val="center"/>
              <w:rPr>
                <w:rFonts w:ascii="DIN Next LT Pro" w:hAnsi="DIN Next LT Pro"/>
                <w:color w:val="000000" w:themeColor="text1"/>
              </w:rPr>
            </w:pPr>
          </w:p>
        </w:tc>
      </w:tr>
    </w:tbl>
    <w:p w14:paraId="67E83EBA" w14:textId="77777777" w:rsidR="002F7696" w:rsidRPr="00EA0C25" w:rsidRDefault="002F7696" w:rsidP="002F7696">
      <w:pPr>
        <w:ind w:right="-1234"/>
        <w:contextualSpacing/>
        <w:jc w:val="both"/>
        <w:rPr>
          <w:rFonts w:ascii="DIN Next LT Pro" w:hAnsi="DIN Next LT Pro"/>
          <w:color w:val="000000" w:themeColor="text1"/>
        </w:rPr>
      </w:pPr>
    </w:p>
    <w:p w14:paraId="53BB640C" w14:textId="77777777" w:rsidR="002F7696" w:rsidRPr="00EA0C25" w:rsidRDefault="002F7696" w:rsidP="002F7696">
      <w:pPr>
        <w:ind w:left="-113" w:right="-1247"/>
        <w:contextualSpacing/>
        <w:jc w:val="both"/>
        <w:rPr>
          <w:rFonts w:ascii="DIN Next LT Pro" w:hAnsi="DIN Next LT Pro"/>
          <w:color w:val="000000" w:themeColor="text1"/>
        </w:rPr>
      </w:pPr>
      <w:r w:rsidRPr="00EA0C25">
        <w:rPr>
          <w:rFonts w:ascii="DIN Next LT Pro" w:hAnsi="DIN Next LT Pro"/>
          <w:color w:val="000000" w:themeColor="text1"/>
        </w:rPr>
        <w:t xml:space="preserve">  Punctaj total: ___________________</w:t>
      </w:r>
    </w:p>
    <w:p w14:paraId="56FA1193" w14:textId="77777777" w:rsidR="002F7696" w:rsidRPr="00EA0C25" w:rsidRDefault="002F7696" w:rsidP="002F7696">
      <w:pPr>
        <w:ind w:left="-113" w:right="-1247"/>
        <w:contextualSpacing/>
        <w:jc w:val="both"/>
        <w:rPr>
          <w:rFonts w:ascii="DIN Next LT Pro" w:hAnsi="DIN Next LT Pro"/>
          <w:color w:val="000000" w:themeColor="text1"/>
        </w:rPr>
      </w:pPr>
      <w:r w:rsidRPr="00EA0C25">
        <w:rPr>
          <w:rFonts w:ascii="DIN Next LT Pro" w:hAnsi="DIN Next LT Pro"/>
          <w:color w:val="000000" w:themeColor="text1"/>
        </w:rPr>
        <w:t xml:space="preserve">  Suma solicitată: ___________________ lei</w:t>
      </w:r>
    </w:p>
    <w:p w14:paraId="52811FD9" w14:textId="77777777" w:rsidR="002F7696" w:rsidRPr="00EA0C25" w:rsidRDefault="002F7696" w:rsidP="002F7696">
      <w:pPr>
        <w:ind w:left="-113" w:right="-1247"/>
        <w:contextualSpacing/>
        <w:jc w:val="both"/>
        <w:rPr>
          <w:rFonts w:ascii="DIN Next LT Pro" w:hAnsi="DIN Next LT Pro"/>
          <w:color w:val="000000" w:themeColor="text1"/>
        </w:rPr>
      </w:pPr>
      <w:r w:rsidRPr="00EA0C25">
        <w:rPr>
          <w:rFonts w:ascii="DIN Next LT Pro" w:hAnsi="DIN Next LT Pro"/>
          <w:color w:val="000000" w:themeColor="text1"/>
        </w:rPr>
        <w:t xml:space="preserve">  Suma aprobată de comisie: _______________ lei</w:t>
      </w:r>
    </w:p>
    <w:p w14:paraId="3EAFB3CE" w14:textId="77777777" w:rsidR="002F7696" w:rsidRPr="00EA0C25" w:rsidRDefault="002F7696" w:rsidP="002F7696">
      <w:pPr>
        <w:ind w:right="-1234"/>
        <w:contextualSpacing/>
        <w:rPr>
          <w:rFonts w:ascii="DIN Next LT Pro" w:hAnsi="DIN Next LT Pro"/>
          <w:color w:val="000000" w:themeColor="text1"/>
        </w:rPr>
      </w:pPr>
    </w:p>
    <w:p w14:paraId="7591B5DB" w14:textId="77777777" w:rsidR="002F7696" w:rsidRPr="00EA0C25" w:rsidRDefault="002F7696" w:rsidP="002F7696">
      <w:pPr>
        <w:ind w:right="-261"/>
        <w:contextualSpacing/>
        <w:jc w:val="both"/>
        <w:rPr>
          <w:rFonts w:ascii="DIN Next LT Pro" w:hAnsi="DIN Next LT Pro"/>
          <w:color w:val="000000" w:themeColor="text1"/>
        </w:rPr>
      </w:pPr>
      <w:r w:rsidRPr="00EA0C25">
        <w:rPr>
          <w:rFonts w:ascii="DIN Next LT Pro" w:hAnsi="DIN Next LT Pro"/>
          <w:color w:val="000000" w:themeColor="text1"/>
        </w:rPr>
        <w:lastRenderedPageBreak/>
        <w:t>Notă: Nu poate fi luat în considerare pentru a fi finanţat un proiect care nu a întrunit un minim de 50 puncte.</w:t>
      </w:r>
    </w:p>
    <w:p w14:paraId="71FA9275" w14:textId="77777777" w:rsidR="002F7696" w:rsidRPr="00EA0C25" w:rsidRDefault="002F7696" w:rsidP="002F7696">
      <w:pPr>
        <w:ind w:right="-261"/>
        <w:contextualSpacing/>
        <w:jc w:val="both"/>
        <w:rPr>
          <w:rFonts w:ascii="DIN Next LT Pro" w:hAnsi="DIN Next LT Pro"/>
          <w:color w:val="000000" w:themeColor="text1"/>
        </w:rPr>
      </w:pPr>
    </w:p>
    <w:p w14:paraId="34D1951B" w14:textId="77777777" w:rsidR="002F7696" w:rsidRPr="00EA0C25" w:rsidRDefault="002F7696" w:rsidP="002F7696">
      <w:pPr>
        <w:ind w:right="-261"/>
        <w:contextualSpacing/>
        <w:jc w:val="both"/>
        <w:rPr>
          <w:rFonts w:ascii="DIN Next LT Pro" w:hAnsi="DIN Next LT Pro"/>
          <w:color w:val="000000" w:themeColor="text1"/>
        </w:rPr>
      </w:pPr>
      <w:r w:rsidRPr="00EA0C25">
        <w:rPr>
          <w:rFonts w:ascii="DIN Next LT Pro" w:hAnsi="DIN Next LT Pro"/>
          <w:color w:val="000000" w:themeColor="text1"/>
        </w:rPr>
        <w:t>În cursul procedurii de evaluare a propunerilor de proiecte, autoritatea finanţatoare poate solicita clarificări şi completări ale documentelor depuse de beneficiari pentru verificarea îndeplinirii criteriilor de eligibilitate.</w:t>
      </w:r>
    </w:p>
    <w:p w14:paraId="6751F75C" w14:textId="77777777" w:rsidR="002F7696" w:rsidRPr="00EA0C25" w:rsidRDefault="002F7696" w:rsidP="002F7696">
      <w:pPr>
        <w:ind w:right="-261"/>
        <w:contextualSpacing/>
        <w:jc w:val="both"/>
        <w:rPr>
          <w:rFonts w:ascii="DIN Next LT Pro" w:hAnsi="DIN Next LT Pro"/>
          <w:color w:val="000000" w:themeColor="text1"/>
        </w:rPr>
      </w:pPr>
      <w:r w:rsidRPr="00EA0C25">
        <w:rPr>
          <w:rFonts w:ascii="DIN Next LT Pro" w:hAnsi="DIN Next LT Pro"/>
          <w:color w:val="000000" w:themeColor="text1"/>
        </w:rPr>
        <w:t>Numărul de participanţi la procedura de selecţie de proiecte nu este limitat.</w:t>
      </w:r>
    </w:p>
    <w:p w14:paraId="4E8B7A5C" w14:textId="77777777" w:rsidR="002F7696" w:rsidRPr="00EA0C25" w:rsidRDefault="002F7696" w:rsidP="002F7696">
      <w:pPr>
        <w:ind w:right="-261"/>
        <w:contextualSpacing/>
        <w:jc w:val="both"/>
        <w:rPr>
          <w:rFonts w:ascii="DIN Next LT Pro" w:hAnsi="DIN Next LT Pro"/>
          <w:color w:val="000000" w:themeColor="text1"/>
        </w:rPr>
      </w:pPr>
      <w:r w:rsidRPr="00EA0C25">
        <w:rPr>
          <w:rFonts w:ascii="DIN Next LT Pro" w:hAnsi="DIN Next LT Pro"/>
          <w:color w:val="000000" w:themeColor="text1"/>
        </w:rPr>
        <w:t>Autoritatea finanţatoare va repeta procedura de selecţie de proiecte în cazul în care există un singur participant. În cazul în care în urma repetării procedurii numai un participant a depus propunerea de proiect, autoritatea finanţatoare are dreptul de a atribui contractul de finanţare nerambursabilă acestuia, în condiţiile legii.</w:t>
      </w:r>
    </w:p>
    <w:p w14:paraId="57E1F183" w14:textId="77777777" w:rsidR="002F7696" w:rsidRPr="00EA0C25" w:rsidRDefault="002F7696" w:rsidP="002F7696">
      <w:pPr>
        <w:pStyle w:val="NormalWeb"/>
        <w:spacing w:before="0" w:after="142"/>
        <w:ind w:right="-261"/>
        <w:contextualSpacing/>
        <w:jc w:val="both"/>
        <w:rPr>
          <w:rFonts w:ascii="DIN Next LT Pro" w:hAnsi="DIN Next LT Pro"/>
          <w:color w:val="000000" w:themeColor="text1"/>
          <w:sz w:val="22"/>
          <w:szCs w:val="22"/>
        </w:rPr>
      </w:pPr>
      <w:r w:rsidRPr="00EA0C25">
        <w:rPr>
          <w:rFonts w:ascii="DIN Next LT Pro" w:hAnsi="DIN Next LT Pro"/>
          <w:color w:val="000000" w:themeColor="text1"/>
          <w:sz w:val="22"/>
          <w:szCs w:val="22"/>
        </w:rPr>
        <w:t>Comisia de evaluare şi selecţie va proceda la analiza şi evaluarea proiectelor şi va întocmi un proces verbal, în care va arăta situaţia evaluării şi selectării proiectelor, cele care vor fi selectate şi cele respinse de la finanţare.</w:t>
      </w:r>
    </w:p>
    <w:p w14:paraId="03DACC12" w14:textId="77777777" w:rsidR="00AE372B" w:rsidRPr="00EA0C25" w:rsidRDefault="00AE372B">
      <w:pPr>
        <w:rPr>
          <w:color w:val="000000" w:themeColor="text1"/>
        </w:rPr>
      </w:pPr>
    </w:p>
    <w:sectPr w:rsidR="00AE372B" w:rsidRPr="00EA0C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Raavi">
    <w:panose1 w:val="02000500000000000000"/>
    <w:charset w:val="00"/>
    <w:family w:val="swiss"/>
    <w:pitch w:val="variable"/>
    <w:sig w:usb0="0002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DIN Next LT Pro">
    <w:panose1 w:val="020B0503020203050203"/>
    <w:charset w:val="00"/>
    <w:family w:val="swiss"/>
    <w:notTrueType/>
    <w:pitch w:val="variable"/>
    <w:sig w:usb0="A00000AF" w:usb1="5000205B" w:usb2="00000000" w:usb3="00000000" w:csb0="0000009B"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0000000B"/>
    <w:name w:val="WW8Num11"/>
    <w:lvl w:ilvl="0">
      <w:numFmt w:val="bullet"/>
      <w:lvlText w:val="-"/>
      <w:lvlJc w:val="left"/>
      <w:pPr>
        <w:tabs>
          <w:tab w:val="num" w:pos="420"/>
        </w:tabs>
        <w:ind w:left="420" w:hanging="360"/>
      </w:pPr>
      <w:rPr>
        <w:rFonts w:ascii="Times New Roman" w:hAnsi="Times New Roman" w:cs="Times New Roman"/>
        <w:sz w:val="22"/>
        <w:szCs w:val="22"/>
        <w:lang w:eastAsia="en-US"/>
      </w:rPr>
    </w:lvl>
    <w:lvl w:ilvl="1">
      <w:start w:val="1"/>
      <w:numFmt w:val="bullet"/>
      <w:lvlText w:val="o"/>
      <w:lvlJc w:val="left"/>
      <w:pPr>
        <w:tabs>
          <w:tab w:val="num" w:pos="1440"/>
        </w:tabs>
        <w:ind w:left="1440" w:hanging="360"/>
      </w:pPr>
      <w:rPr>
        <w:rFonts w:ascii="Courier New" w:hAnsi="Courier New" w:cs="Courier New"/>
        <w:sz w:val="22"/>
        <w:szCs w:val="22"/>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sz w:val="22"/>
        <w:szCs w:val="22"/>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sz w:val="22"/>
        <w:szCs w:val="22"/>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12"/>
    <w:multiLevelType w:val="multilevel"/>
    <w:tmpl w:val="00000012"/>
    <w:name w:val="WW8Num18"/>
    <w:lvl w:ilvl="0">
      <w:start w:val="1"/>
      <w:numFmt w:val="decimal"/>
      <w:lvlText w:val="%1."/>
      <w:lvlJc w:val="left"/>
      <w:pPr>
        <w:tabs>
          <w:tab w:val="num" w:pos="720"/>
        </w:tabs>
        <w:ind w:left="720" w:hanging="360"/>
      </w:pPr>
      <w:rPr>
        <w:rFonts w:ascii="Times New Roman" w:hAnsi="Times New Roman" w:cs="Tw Cen MT"/>
      </w:rPr>
    </w:lvl>
    <w:lvl w:ilvl="1">
      <w:start w:val="1"/>
      <w:numFmt w:val="bullet"/>
      <w:lvlText w:val=""/>
      <w:lvlJc w:val="left"/>
      <w:pPr>
        <w:tabs>
          <w:tab w:val="num" w:pos="1440"/>
        </w:tabs>
        <w:ind w:left="1440" w:hanging="360"/>
      </w:pPr>
      <w:rPr>
        <w:rFonts w:ascii="Symbol" w:hAnsi="Symbol" w:cs="Raavi"/>
        <w:color w:val="000000"/>
        <w:sz w:val="22"/>
      </w:rPr>
    </w:lvl>
    <w:lvl w:ilvl="2">
      <w:start w:val="1"/>
      <w:numFmt w:val="lowerRoman"/>
      <w:lvlText w:val="%3."/>
      <w:lvlJc w:val="right"/>
      <w:pPr>
        <w:tabs>
          <w:tab w:val="num" w:pos="2160"/>
        </w:tabs>
        <w:ind w:left="2160" w:hanging="180"/>
      </w:pPr>
      <w:rPr>
        <w:rFonts w:ascii="Wingdings" w:hAnsi="Wingdings" w:cs="Wingdings"/>
      </w:rPr>
    </w:lvl>
    <w:lvl w:ilvl="3">
      <w:start w:val="1"/>
      <w:numFmt w:val="decimal"/>
      <w:lvlText w:val="%4."/>
      <w:lvlJc w:val="left"/>
      <w:pPr>
        <w:tabs>
          <w:tab w:val="num" w:pos="720"/>
        </w:tabs>
        <w:ind w:left="2880" w:hanging="360"/>
      </w:pPr>
      <w:rPr>
        <w:rFonts w:ascii="Symbol" w:hAnsi="Symbol" w:cs="Symbol"/>
        <w:b w:val="0"/>
        <w:i/>
        <w:sz w:val="22"/>
        <w:szCs w:val="22"/>
        <w:lang w:val="ro-RO" w:eastAsia="en-US"/>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301623948">
    <w:abstractNumId w:val="0"/>
  </w:num>
  <w:num w:numId="2" w16cid:durableId="9817333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96"/>
    <w:rsid w:val="002F7696"/>
    <w:rsid w:val="00AE372B"/>
    <w:rsid w:val="00EA0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528CD"/>
  <w15:chartTrackingRefBased/>
  <w15:docId w15:val="{0DFC3236-0960-4A2C-82C4-80CA64EF4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696"/>
    <w:pPr>
      <w:suppressAutoHyphens/>
    </w:pPr>
    <w:rPr>
      <w:lang w:val="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qFormat/>
    <w:rsid w:val="002F7696"/>
    <w:rPr>
      <w:rFonts w:ascii="Times New Roman" w:eastAsia="Times New Roman" w:hAnsi="Times New Roman" w:cs="Times New Roman"/>
      <w:sz w:val="20"/>
      <w:szCs w:val="20"/>
      <w:lang w:val="ro-RO" w:eastAsia="zh-CN"/>
    </w:rPr>
  </w:style>
  <w:style w:type="paragraph" w:styleId="BodyText">
    <w:name w:val="Body Text"/>
    <w:basedOn w:val="Normal"/>
    <w:link w:val="BodyTextChar"/>
    <w:rsid w:val="002F7696"/>
    <w:pPr>
      <w:spacing w:after="120" w:line="240" w:lineRule="auto"/>
    </w:pPr>
    <w:rPr>
      <w:rFonts w:ascii="Times New Roman" w:eastAsia="Times New Roman" w:hAnsi="Times New Roman" w:cs="Times New Roman"/>
      <w:sz w:val="20"/>
      <w:szCs w:val="20"/>
      <w:lang w:val="ro-RO" w:eastAsia="zh-CN"/>
    </w:rPr>
  </w:style>
  <w:style w:type="character" w:customStyle="1" w:styleId="BodyTextChar1">
    <w:name w:val="Body Text Char1"/>
    <w:basedOn w:val="DefaultParagraphFont"/>
    <w:uiPriority w:val="99"/>
    <w:semiHidden/>
    <w:rsid w:val="002F7696"/>
    <w:rPr>
      <w:lang w:val="hu-HU"/>
    </w:rPr>
  </w:style>
  <w:style w:type="paragraph" w:customStyle="1" w:styleId="western">
    <w:name w:val="western"/>
    <w:basedOn w:val="Normal"/>
    <w:qFormat/>
    <w:rsid w:val="002F7696"/>
    <w:pPr>
      <w:spacing w:before="280" w:after="119" w:line="240" w:lineRule="auto"/>
    </w:pPr>
    <w:rPr>
      <w:rFonts w:ascii="Liberation Serif" w:eastAsia="Times New Roman" w:hAnsi="Liberation Serif" w:cs="Liberation Serif"/>
      <w:color w:val="000000"/>
      <w:sz w:val="24"/>
      <w:szCs w:val="24"/>
      <w:lang w:val="en-US" w:eastAsia="hu-HU"/>
    </w:rPr>
  </w:style>
  <w:style w:type="paragraph" w:styleId="NormalWeb">
    <w:name w:val="Normal (Web)"/>
    <w:basedOn w:val="Normal"/>
    <w:rsid w:val="002F7696"/>
    <w:pPr>
      <w:spacing w:before="100" w:after="100" w:line="240" w:lineRule="auto"/>
    </w:pPr>
    <w:rPr>
      <w:rFonts w:ascii="Times New Roman" w:eastAsia="Times New Roman" w:hAnsi="Times New Roman" w:cs="Times New Roman"/>
      <w:kern w:val="1"/>
      <w:sz w:val="24"/>
      <w:szCs w:val="24"/>
      <w:lang w:val="ro-RO" w:eastAsia="zh-CN"/>
    </w:rPr>
  </w:style>
  <w:style w:type="paragraph" w:styleId="BodyTextIndent2">
    <w:name w:val="Body Text Indent 2"/>
    <w:basedOn w:val="Normal"/>
    <w:link w:val="BodyTextIndent2Char"/>
    <w:unhideWhenUsed/>
    <w:rsid w:val="002F7696"/>
    <w:pPr>
      <w:spacing w:after="120" w:line="480" w:lineRule="auto"/>
      <w:ind w:left="283"/>
    </w:pPr>
  </w:style>
  <w:style w:type="character" w:customStyle="1" w:styleId="BodyTextIndent2Char">
    <w:name w:val="Body Text Indent 2 Char"/>
    <w:basedOn w:val="DefaultParagraphFont"/>
    <w:link w:val="BodyTextIndent2"/>
    <w:rsid w:val="002F7696"/>
    <w:rPr>
      <w:lang w:val="hu-HU"/>
    </w:rPr>
  </w:style>
  <w:style w:type="paragraph" w:customStyle="1" w:styleId="TableContents">
    <w:name w:val="Table Contents"/>
    <w:basedOn w:val="Normal"/>
    <w:rsid w:val="002F7696"/>
    <w:pPr>
      <w:suppressLineNumbers/>
      <w:spacing w:after="0" w:line="240" w:lineRule="auto"/>
    </w:pPr>
    <w:rPr>
      <w:rFonts w:ascii="Times New Roman" w:eastAsia="Times New Roman" w:hAnsi="Times New Roman" w:cs="Times New Roman"/>
      <w:kern w:val="1"/>
      <w:sz w:val="24"/>
      <w:szCs w:val="24"/>
      <w:lang w:val="ro-RO"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2196</Words>
  <Characters>12520</Characters>
  <Application>Microsoft Office Word</Application>
  <DocSecurity>0</DocSecurity>
  <Lines>104</Lines>
  <Paragraphs>29</Paragraphs>
  <ScaleCrop>false</ScaleCrop>
  <Company/>
  <LinksUpToDate>false</LinksUpToDate>
  <CharactersWithSpaces>14687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 Maria</dc:creator>
  <cp:keywords/>
  <dc:description/>
  <cp:lastModifiedBy>Gal Maria</cp:lastModifiedBy>
  <cp:revision>2</cp:revision>
  <dcterms:created xsi:type="dcterms:W3CDTF">2023-03-08T09:03:00Z</dcterms:created>
  <dcterms:modified xsi:type="dcterms:W3CDTF">2023-03-08T09:08:00Z</dcterms:modified>
</cp:coreProperties>
</file>